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5CF7A9">
      <w:pPr>
        <w:jc w:val="left"/>
        <w:rPr>
          <w:rFonts w:hint="default" w:ascii="Times New Roman" w:hAnsi="Times New Roman" w:eastAsia="黑体" w:cs="Times New Roman"/>
          <w:spacing w:val="-10"/>
          <w:sz w:val="44"/>
          <w:szCs w:val="44"/>
        </w:rPr>
      </w:pPr>
    </w:p>
    <w:p w14:paraId="24D40D54">
      <w:pPr>
        <w:jc w:val="left"/>
        <w:rPr>
          <w:rFonts w:hint="default" w:ascii="Times New Roman" w:hAnsi="Times New Roman" w:eastAsia="黑体" w:cs="Times New Roman"/>
          <w:spacing w:val="-10"/>
          <w:sz w:val="44"/>
          <w:szCs w:val="44"/>
        </w:rPr>
      </w:pPr>
    </w:p>
    <w:p w14:paraId="1A1A0FA3">
      <w:pPr>
        <w:jc w:val="left"/>
        <w:rPr>
          <w:rFonts w:hint="default" w:ascii="Times New Roman" w:hAnsi="Times New Roman" w:eastAsia="黑体" w:cs="Times New Roman"/>
          <w:spacing w:val="-10"/>
          <w:sz w:val="44"/>
          <w:szCs w:val="44"/>
        </w:rPr>
      </w:pPr>
    </w:p>
    <w:p w14:paraId="2D31B129">
      <w:pPr>
        <w:jc w:val="center"/>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pacing w:val="-10"/>
          <w:sz w:val="44"/>
          <w:szCs w:val="44"/>
        </w:rPr>
        <w:t>2025年职业本科拟招生专业信息表</w:t>
      </w:r>
    </w:p>
    <w:p w14:paraId="0F050771">
      <w:pPr>
        <w:jc w:val="center"/>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pacing w:val="-10"/>
          <w:sz w:val="44"/>
          <w:szCs w:val="44"/>
        </w:rPr>
        <w:t xml:space="preserve"> </w:t>
      </w:r>
    </w:p>
    <w:p w14:paraId="04904ABE">
      <w:pPr>
        <w:jc w:val="center"/>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pacing w:val="-10"/>
          <w:sz w:val="44"/>
          <w:szCs w:val="44"/>
        </w:rPr>
        <w:t xml:space="preserve"> </w:t>
      </w:r>
    </w:p>
    <w:p w14:paraId="63F92925">
      <w:pPr>
        <w:ind w:left="1418" w:leftChars="443"/>
        <w:rPr>
          <w:rFonts w:hint="default" w:ascii="Times New Roman" w:hAnsi="Times New Roman" w:eastAsia="楷体_GB2312" w:cs="Times New Roman"/>
        </w:rPr>
      </w:pPr>
      <w:r>
        <w:rPr>
          <w:rFonts w:hint="default" w:ascii="Times New Roman" w:hAnsi="Times New Roman" w:eastAsia="楷体_GB2312" w:cs="Times New Roman"/>
        </w:rPr>
        <w:t xml:space="preserve"> </w:t>
      </w:r>
    </w:p>
    <w:tbl>
      <w:tblPr>
        <w:tblStyle w:val="16"/>
        <w:tblW w:w="8011"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4120"/>
        <w:gridCol w:w="3891"/>
      </w:tblGrid>
      <w:tr w14:paraId="1BAA9B8D">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77" w:hRule="atLeast"/>
        </w:trPr>
        <w:tc>
          <w:tcPr>
            <w:tcW w:w="4120" w:type="dxa"/>
            <w:tcBorders>
              <w:top w:val="nil"/>
              <w:left w:val="nil"/>
              <w:bottom w:val="nil"/>
              <w:right w:val="nil"/>
            </w:tcBorders>
            <w:shd w:val="clear" w:color="auto" w:fill="auto"/>
          </w:tcPr>
          <w:p w14:paraId="6560C9E8">
            <w:pPr>
              <w:ind w:left="858" w:leftChars="268"/>
              <w:jc w:val="center"/>
              <w:rPr>
                <w:rFonts w:hint="default" w:ascii="Times New Roman" w:hAnsi="Times New Roman" w:cs="Times New Roman"/>
              </w:rPr>
            </w:pPr>
            <w:r>
              <w:rPr>
                <w:rFonts w:hint="default" w:ascii="Times New Roman" w:hAnsi="Times New Roman" w:eastAsia="楷体_GB2312" w:cs="Times New Roman"/>
              </w:rPr>
              <w:t>学校名称(盖章)：</w:t>
            </w:r>
            <w:r>
              <w:rPr>
                <w:rFonts w:hint="default" w:ascii="Times New Roman" w:hAnsi="Times New Roman" w:cs="Times New Roman"/>
              </w:rPr>
              <w:t xml:space="preserve"> </w:t>
            </w:r>
          </w:p>
        </w:tc>
        <w:tc>
          <w:tcPr>
            <w:tcW w:w="3891" w:type="dxa"/>
            <w:tcBorders>
              <w:top w:val="nil"/>
              <w:left w:val="nil"/>
              <w:bottom w:val="nil"/>
              <w:right w:val="nil"/>
            </w:tcBorders>
            <w:shd w:val="clear" w:color="auto" w:fill="auto"/>
          </w:tcPr>
          <w:p w14:paraId="79C8F2AF">
            <w:pPr>
              <w:widowControl/>
              <w:overflowPunct w:val="0"/>
              <w:adjustRightInd w:val="0"/>
              <w:jc w:val="center"/>
              <w:rPr>
                <w:rFonts w:hint="default" w:ascii="Times New Roman" w:hAnsi="Times New Roman" w:cs="Times New Roman"/>
              </w:rPr>
            </w:pPr>
            <w:r>
              <w:rPr>
                <w:rFonts w:hint="default" w:ascii="Times New Roman" w:hAnsi="Times New Roman" w:cs="Times New Roman"/>
              </w:rPr>
              <w:t>衢州学院</w:t>
            </w:r>
          </w:p>
        </w:tc>
      </w:tr>
      <w:tr w14:paraId="70DD5576">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77" w:hRule="atLeast"/>
        </w:trPr>
        <w:tc>
          <w:tcPr>
            <w:tcW w:w="4120" w:type="dxa"/>
            <w:tcBorders>
              <w:top w:val="nil"/>
              <w:left w:val="nil"/>
              <w:bottom w:val="nil"/>
              <w:right w:val="nil"/>
            </w:tcBorders>
            <w:shd w:val="clear" w:color="auto" w:fill="auto"/>
          </w:tcPr>
          <w:p w14:paraId="60FE16C4">
            <w:pPr>
              <w:ind w:left="858" w:leftChars="268"/>
              <w:jc w:val="center"/>
              <w:rPr>
                <w:rFonts w:hint="default" w:ascii="Times New Roman" w:hAnsi="Times New Roman" w:cs="Times New Roman"/>
              </w:rPr>
            </w:pPr>
            <w:r>
              <w:rPr>
                <w:rFonts w:hint="default" w:ascii="Times New Roman" w:hAnsi="Times New Roman" w:eastAsia="楷体_GB2312" w:cs="Times New Roman"/>
              </w:rPr>
              <w:t>专  业  名  称：</w:t>
            </w:r>
          </w:p>
        </w:tc>
        <w:tc>
          <w:tcPr>
            <w:tcW w:w="3891" w:type="dxa"/>
            <w:tcBorders>
              <w:top w:val="nil"/>
              <w:left w:val="nil"/>
              <w:bottom w:val="nil"/>
              <w:right w:val="nil"/>
            </w:tcBorders>
            <w:shd w:val="clear" w:color="auto" w:fill="auto"/>
          </w:tcPr>
          <w:p w14:paraId="7E615709">
            <w:pPr>
              <w:widowControl/>
              <w:overflowPunct w:val="0"/>
              <w:adjustRightInd w:val="0"/>
              <w:jc w:val="center"/>
              <w:rPr>
                <w:rFonts w:hint="default" w:ascii="Times New Roman" w:hAnsi="Times New Roman" w:cs="Times New Roman"/>
              </w:rPr>
            </w:pPr>
            <w:r>
              <w:rPr>
                <w:rFonts w:hint="default" w:ascii="Times New Roman" w:hAnsi="Times New Roman" w:cs="Times New Roman"/>
              </w:rPr>
              <w:t>应用化工技术</w:t>
            </w:r>
          </w:p>
        </w:tc>
      </w:tr>
      <w:tr w14:paraId="3F214E72">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6" w:hRule="atLeast"/>
        </w:trPr>
        <w:tc>
          <w:tcPr>
            <w:tcW w:w="4120" w:type="dxa"/>
            <w:tcBorders>
              <w:top w:val="nil"/>
              <w:left w:val="nil"/>
              <w:bottom w:val="nil"/>
              <w:right w:val="nil"/>
            </w:tcBorders>
            <w:shd w:val="clear" w:color="auto" w:fill="auto"/>
          </w:tcPr>
          <w:p w14:paraId="6D773F88">
            <w:pPr>
              <w:ind w:left="858" w:leftChars="268"/>
              <w:jc w:val="center"/>
              <w:rPr>
                <w:rFonts w:hint="default" w:ascii="Times New Roman" w:hAnsi="Times New Roman" w:eastAsia="楷体_GB2312" w:cs="Times New Roman"/>
              </w:rPr>
            </w:pPr>
            <w:r>
              <w:rPr>
                <w:rFonts w:hint="default" w:ascii="Times New Roman" w:hAnsi="Times New Roman" w:eastAsia="楷体_GB2312" w:cs="Times New Roman"/>
              </w:rPr>
              <w:t>专  业  代  码：</w:t>
            </w:r>
          </w:p>
        </w:tc>
        <w:tc>
          <w:tcPr>
            <w:tcW w:w="3891" w:type="dxa"/>
            <w:tcBorders>
              <w:top w:val="nil"/>
              <w:left w:val="nil"/>
              <w:bottom w:val="nil"/>
              <w:right w:val="nil"/>
            </w:tcBorders>
            <w:shd w:val="clear" w:color="auto" w:fill="auto"/>
          </w:tcPr>
          <w:p w14:paraId="2EB58F40">
            <w:pPr>
              <w:widowControl/>
              <w:overflowPunct w:val="0"/>
              <w:adjustRightInd w:val="0"/>
              <w:jc w:val="center"/>
              <w:rPr>
                <w:rFonts w:hint="default" w:ascii="Times New Roman" w:hAnsi="Times New Roman" w:cs="Times New Roman"/>
              </w:rPr>
            </w:pPr>
            <w:r>
              <w:rPr>
                <w:rFonts w:hint="default" w:ascii="Times New Roman" w:hAnsi="Times New Roman" w:cs="Times New Roman"/>
              </w:rPr>
              <w:t>270201</w:t>
            </w:r>
          </w:p>
        </w:tc>
      </w:tr>
      <w:tr w14:paraId="388A26FF">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6" w:hRule="atLeast"/>
        </w:trPr>
        <w:tc>
          <w:tcPr>
            <w:tcW w:w="4120" w:type="dxa"/>
            <w:tcBorders>
              <w:top w:val="nil"/>
              <w:left w:val="nil"/>
              <w:bottom w:val="nil"/>
              <w:right w:val="nil"/>
            </w:tcBorders>
            <w:shd w:val="clear" w:color="auto" w:fill="auto"/>
          </w:tcPr>
          <w:p w14:paraId="7B494E07">
            <w:pPr>
              <w:ind w:left="858" w:leftChars="268"/>
              <w:jc w:val="center"/>
              <w:rPr>
                <w:rFonts w:hint="default" w:ascii="Times New Roman" w:hAnsi="Times New Roman" w:eastAsia="楷体_GB2312" w:cs="Times New Roman"/>
              </w:rPr>
            </w:pPr>
            <w:r>
              <w:rPr>
                <w:rFonts w:hint="default" w:ascii="Times New Roman" w:hAnsi="Times New Roman" w:eastAsia="楷体_GB2312" w:cs="Times New Roman"/>
              </w:rPr>
              <w:t>修  业  年  限：</w:t>
            </w:r>
          </w:p>
        </w:tc>
        <w:tc>
          <w:tcPr>
            <w:tcW w:w="3891" w:type="dxa"/>
            <w:tcBorders>
              <w:top w:val="nil"/>
              <w:left w:val="nil"/>
              <w:bottom w:val="nil"/>
              <w:right w:val="nil"/>
            </w:tcBorders>
            <w:shd w:val="clear" w:color="auto" w:fill="auto"/>
          </w:tcPr>
          <w:p w14:paraId="45061391">
            <w:pPr>
              <w:widowControl/>
              <w:overflowPunct w:val="0"/>
              <w:adjustRightInd w:val="0"/>
              <w:jc w:val="center"/>
              <w:rPr>
                <w:rFonts w:hint="eastAsia" w:ascii="Times New Roman" w:hAnsi="Times New Roman" w:eastAsia="仿宋_GB2312" w:cs="Times New Roman"/>
                <w:lang w:val="en-US" w:eastAsia="zh-CN"/>
              </w:rPr>
            </w:pPr>
            <w:r>
              <w:rPr>
                <w:rFonts w:hint="default" w:ascii="Times New Roman" w:hAnsi="Times New Roman" w:cs="Times New Roman"/>
              </w:rPr>
              <w:t>2</w:t>
            </w:r>
          </w:p>
        </w:tc>
      </w:tr>
      <w:tr w14:paraId="64D93E63">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03" w:hRule="atLeast"/>
        </w:trPr>
        <w:tc>
          <w:tcPr>
            <w:tcW w:w="4120" w:type="dxa"/>
            <w:tcBorders>
              <w:top w:val="nil"/>
              <w:left w:val="nil"/>
              <w:bottom w:val="nil"/>
              <w:right w:val="nil"/>
            </w:tcBorders>
            <w:shd w:val="clear" w:color="auto" w:fill="auto"/>
          </w:tcPr>
          <w:p w14:paraId="588DA4E6">
            <w:pPr>
              <w:ind w:left="858" w:leftChars="268"/>
              <w:jc w:val="center"/>
              <w:rPr>
                <w:rFonts w:hint="default" w:ascii="Times New Roman" w:hAnsi="Times New Roman" w:eastAsia="楷体_GB2312" w:cs="Times New Roman"/>
              </w:rPr>
            </w:pPr>
            <w:r>
              <w:rPr>
                <w:rFonts w:hint="default" w:ascii="Times New Roman" w:hAnsi="Times New Roman" w:eastAsia="楷体_GB2312" w:cs="Times New Roman"/>
              </w:rPr>
              <w:t>拟  招  生  数：</w:t>
            </w:r>
          </w:p>
        </w:tc>
        <w:tc>
          <w:tcPr>
            <w:tcW w:w="3891" w:type="dxa"/>
            <w:tcBorders>
              <w:top w:val="nil"/>
              <w:left w:val="nil"/>
              <w:bottom w:val="nil"/>
              <w:right w:val="nil"/>
            </w:tcBorders>
            <w:shd w:val="clear" w:color="auto" w:fill="auto"/>
          </w:tcPr>
          <w:p w14:paraId="2AED940E">
            <w:pPr>
              <w:widowControl/>
              <w:overflowPunct w:val="0"/>
              <w:adjustRightInd w:val="0"/>
              <w:jc w:val="center"/>
              <w:rPr>
                <w:rFonts w:hint="default" w:ascii="Times New Roman" w:hAnsi="Times New Roman" w:eastAsia="仿宋_GB2312" w:cs="Times New Roman"/>
                <w:lang w:val="en-US" w:eastAsia="zh-CN"/>
              </w:rPr>
            </w:pPr>
            <w:r>
              <w:rPr>
                <w:rFonts w:hint="eastAsia" w:cs="Times New Roman"/>
                <w:lang w:val="en-US" w:eastAsia="zh-CN"/>
              </w:rPr>
              <w:t>80</w:t>
            </w:r>
          </w:p>
        </w:tc>
      </w:tr>
      <w:tr w14:paraId="753ABB1E">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20" w:hRule="atLeast"/>
        </w:trPr>
        <w:tc>
          <w:tcPr>
            <w:tcW w:w="4120" w:type="dxa"/>
            <w:tcBorders>
              <w:top w:val="nil"/>
              <w:left w:val="nil"/>
              <w:bottom w:val="nil"/>
              <w:right w:val="nil"/>
            </w:tcBorders>
            <w:shd w:val="clear" w:color="auto" w:fill="auto"/>
          </w:tcPr>
          <w:p w14:paraId="682D997B">
            <w:pPr>
              <w:ind w:left="858" w:leftChars="268"/>
              <w:jc w:val="center"/>
              <w:rPr>
                <w:rFonts w:hint="default" w:ascii="Times New Roman" w:hAnsi="Times New Roman" w:eastAsia="楷体_GB2312" w:cs="Times New Roman"/>
              </w:rPr>
            </w:pPr>
            <w:r>
              <w:rPr>
                <w:rFonts w:hint="default" w:ascii="Times New Roman" w:hAnsi="Times New Roman" w:eastAsia="楷体_GB2312" w:cs="Times New Roman"/>
                <w:spacing w:val="-20"/>
              </w:rPr>
              <w:t>专 业 点 负 责 人</w:t>
            </w:r>
            <w:r>
              <w:rPr>
                <w:rFonts w:hint="default" w:ascii="Times New Roman" w:hAnsi="Times New Roman" w:eastAsia="楷体_GB2312" w:cs="Times New Roman"/>
              </w:rPr>
              <w:t>：</w:t>
            </w:r>
          </w:p>
        </w:tc>
        <w:tc>
          <w:tcPr>
            <w:tcW w:w="3891" w:type="dxa"/>
            <w:tcBorders>
              <w:top w:val="nil"/>
              <w:left w:val="nil"/>
              <w:bottom w:val="nil"/>
              <w:right w:val="nil"/>
            </w:tcBorders>
            <w:shd w:val="clear" w:color="auto" w:fill="auto"/>
          </w:tcPr>
          <w:p w14:paraId="0EA1AD0E">
            <w:pPr>
              <w:widowControl/>
              <w:overflowPunct w:val="0"/>
              <w:adjustRightInd w:val="0"/>
              <w:jc w:val="center"/>
              <w:rPr>
                <w:rFonts w:hint="default" w:ascii="Times New Roman" w:hAnsi="Times New Roman" w:cs="Times New Roman"/>
              </w:rPr>
            </w:pPr>
            <w:r>
              <w:rPr>
                <w:rFonts w:hint="default" w:ascii="Times New Roman" w:hAnsi="Times New Roman" w:cs="Times New Roman"/>
              </w:rPr>
              <w:t>郑启富</w:t>
            </w:r>
          </w:p>
        </w:tc>
      </w:tr>
      <w:tr w14:paraId="76B55DC1">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3" w:hRule="atLeast"/>
        </w:trPr>
        <w:tc>
          <w:tcPr>
            <w:tcW w:w="4120" w:type="dxa"/>
            <w:tcBorders>
              <w:top w:val="nil"/>
              <w:left w:val="nil"/>
              <w:bottom w:val="nil"/>
              <w:right w:val="nil"/>
            </w:tcBorders>
            <w:shd w:val="clear" w:color="auto" w:fill="auto"/>
          </w:tcPr>
          <w:p w14:paraId="6944BB0D">
            <w:pPr>
              <w:ind w:left="858" w:leftChars="268"/>
              <w:jc w:val="center"/>
              <w:rPr>
                <w:rFonts w:hint="default" w:ascii="Times New Roman" w:hAnsi="Times New Roman" w:eastAsia="楷体_GB2312" w:cs="Times New Roman"/>
              </w:rPr>
            </w:pPr>
            <w:r>
              <w:rPr>
                <w:rFonts w:hint="default" w:ascii="Times New Roman" w:hAnsi="Times New Roman" w:eastAsia="楷体_GB2312" w:cs="Times New Roman"/>
              </w:rPr>
              <w:t>联  系  电  话：</w:t>
            </w:r>
          </w:p>
        </w:tc>
        <w:tc>
          <w:tcPr>
            <w:tcW w:w="3891" w:type="dxa"/>
            <w:tcBorders>
              <w:top w:val="nil"/>
              <w:left w:val="nil"/>
              <w:bottom w:val="nil"/>
              <w:right w:val="nil"/>
            </w:tcBorders>
            <w:shd w:val="clear" w:color="auto" w:fill="auto"/>
          </w:tcPr>
          <w:p w14:paraId="15D9653E">
            <w:pPr>
              <w:widowControl/>
              <w:overflowPunct w:val="0"/>
              <w:adjustRightInd w:val="0"/>
              <w:jc w:val="center"/>
              <w:rPr>
                <w:rFonts w:hint="default" w:ascii="Times New Roman" w:hAnsi="Times New Roman" w:cs="Times New Roman"/>
              </w:rPr>
            </w:pPr>
          </w:p>
        </w:tc>
      </w:tr>
      <w:tr w14:paraId="213B6B28">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3" w:hRule="atLeast"/>
        </w:trPr>
        <w:tc>
          <w:tcPr>
            <w:tcW w:w="4120" w:type="dxa"/>
            <w:tcBorders>
              <w:top w:val="nil"/>
              <w:left w:val="nil"/>
              <w:bottom w:val="nil"/>
              <w:right w:val="nil"/>
            </w:tcBorders>
            <w:shd w:val="clear" w:color="auto" w:fill="auto"/>
          </w:tcPr>
          <w:p w14:paraId="0EDB049C">
            <w:pPr>
              <w:ind w:left="858" w:leftChars="268"/>
              <w:jc w:val="center"/>
              <w:rPr>
                <w:rFonts w:hint="default" w:ascii="Times New Roman" w:hAnsi="Times New Roman" w:eastAsia="楷体_GB2312" w:cs="Times New Roman"/>
              </w:rPr>
            </w:pPr>
            <w:r>
              <w:rPr>
                <w:rFonts w:hint="default" w:ascii="Times New Roman" w:hAnsi="Times New Roman" w:eastAsia="楷体_GB2312" w:cs="Times New Roman"/>
              </w:rPr>
              <w:t>申  请  时  间：</w:t>
            </w:r>
          </w:p>
        </w:tc>
        <w:tc>
          <w:tcPr>
            <w:tcW w:w="3891" w:type="dxa"/>
            <w:tcBorders>
              <w:top w:val="nil"/>
              <w:left w:val="nil"/>
              <w:bottom w:val="nil"/>
              <w:right w:val="nil"/>
            </w:tcBorders>
            <w:shd w:val="clear" w:color="auto" w:fill="auto"/>
          </w:tcPr>
          <w:p w14:paraId="1080A218">
            <w:pPr>
              <w:widowControl/>
              <w:overflowPunct w:val="0"/>
              <w:adjustRightInd w:val="0"/>
              <w:jc w:val="center"/>
              <w:rPr>
                <w:rFonts w:hint="default" w:ascii="Times New Roman" w:hAnsi="Times New Roman" w:cs="Times New Roman"/>
              </w:rPr>
            </w:pPr>
            <w:r>
              <w:rPr>
                <w:rFonts w:hint="default" w:ascii="Times New Roman" w:hAnsi="Times New Roman" w:cs="Times New Roman"/>
              </w:rPr>
              <w:t>2024年12月</w:t>
            </w:r>
            <w:r>
              <w:rPr>
                <w:rFonts w:hint="eastAsia" w:cs="Times New Roman"/>
                <w:lang w:val="en-US" w:eastAsia="zh-CN"/>
              </w:rPr>
              <w:t>8</w:t>
            </w:r>
            <w:r>
              <w:rPr>
                <w:rFonts w:hint="default" w:ascii="Times New Roman" w:hAnsi="Times New Roman" w:cs="Times New Roman"/>
              </w:rPr>
              <w:t>日</w:t>
            </w:r>
          </w:p>
        </w:tc>
      </w:tr>
      <w:tr w14:paraId="4D9CC969">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3" w:hRule="atLeast"/>
        </w:trPr>
        <w:tc>
          <w:tcPr>
            <w:tcW w:w="4120" w:type="dxa"/>
            <w:tcBorders>
              <w:top w:val="nil"/>
              <w:left w:val="nil"/>
              <w:bottom w:val="nil"/>
              <w:right w:val="nil"/>
            </w:tcBorders>
            <w:shd w:val="clear" w:color="auto" w:fill="auto"/>
          </w:tcPr>
          <w:p w14:paraId="4FCB759E">
            <w:pPr>
              <w:ind w:left="858" w:leftChars="268"/>
              <w:jc w:val="center"/>
              <w:rPr>
                <w:rFonts w:hint="default" w:ascii="Times New Roman" w:hAnsi="Times New Roman" w:eastAsia="楷体_GB2312" w:cs="Times New Roman"/>
              </w:rPr>
            </w:pPr>
            <w:r>
              <w:rPr>
                <w:rFonts w:hint="default" w:ascii="Times New Roman" w:hAnsi="Times New Roman" w:eastAsia="楷体_GB2312" w:cs="Times New Roman"/>
              </w:rPr>
              <w:t>法定代表人签字：</w:t>
            </w:r>
          </w:p>
        </w:tc>
        <w:tc>
          <w:tcPr>
            <w:tcW w:w="3891" w:type="dxa"/>
            <w:tcBorders>
              <w:top w:val="nil"/>
              <w:left w:val="nil"/>
              <w:bottom w:val="nil"/>
              <w:right w:val="nil"/>
            </w:tcBorders>
            <w:shd w:val="clear" w:color="auto" w:fill="auto"/>
          </w:tcPr>
          <w:p w14:paraId="681AAD7C">
            <w:pPr>
              <w:widowControl/>
              <w:overflowPunct w:val="0"/>
              <w:adjustRightInd w:val="0"/>
              <w:jc w:val="left"/>
              <w:rPr>
                <w:rFonts w:hint="default" w:ascii="Times New Roman" w:hAnsi="Times New Roman" w:cs="Times New Roman"/>
              </w:rPr>
            </w:pPr>
          </w:p>
        </w:tc>
      </w:tr>
    </w:tbl>
    <w:p w14:paraId="02EE98F2">
      <w:pPr>
        <w:ind w:left="1418" w:leftChars="443"/>
        <w:rPr>
          <w:rFonts w:hint="default" w:ascii="Times New Roman" w:hAnsi="Times New Roman" w:eastAsia="楷体_GB2312" w:cs="Times New Roman"/>
        </w:rPr>
      </w:pPr>
      <w:r>
        <w:rPr>
          <w:rFonts w:hint="default" w:ascii="Times New Roman" w:hAnsi="Times New Roman" w:eastAsia="楷体_GB2312" w:cs="Times New Roman"/>
        </w:rPr>
        <w:t xml:space="preserve"> </w:t>
      </w:r>
    </w:p>
    <w:p w14:paraId="74643DC4">
      <w:pPr>
        <w:ind w:left="1418" w:leftChars="443"/>
        <w:rPr>
          <w:rFonts w:hint="default" w:ascii="Times New Roman" w:hAnsi="Times New Roman" w:eastAsia="楷体_GB2312" w:cs="Times New Roman"/>
        </w:rPr>
      </w:pPr>
      <w:r>
        <w:rPr>
          <w:rFonts w:hint="default" w:ascii="Times New Roman" w:hAnsi="Times New Roman" w:eastAsia="楷体_GB2312" w:cs="Times New Roman"/>
        </w:rPr>
        <w:t xml:space="preserve"> </w:t>
      </w:r>
    </w:p>
    <w:p w14:paraId="331F6861">
      <w:pPr>
        <w:ind w:left="1418" w:leftChars="443"/>
        <w:rPr>
          <w:rFonts w:hint="default" w:ascii="Times New Roman" w:hAnsi="Times New Roman" w:eastAsia="楷体_GB2312" w:cs="Times New Roman"/>
        </w:rPr>
      </w:pPr>
      <w:r>
        <w:rPr>
          <w:rFonts w:hint="default" w:ascii="Times New Roman" w:hAnsi="Times New Roman" w:eastAsia="楷体_GB2312" w:cs="Times New Roman"/>
        </w:rPr>
        <w:t xml:space="preserve"> </w:t>
      </w:r>
    </w:p>
    <w:p w14:paraId="7F95F265">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4B1A98AD">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000F2862">
      <w:pPr>
        <w:jc w:val="center"/>
        <w:rPr>
          <w:rFonts w:hint="default" w:ascii="Times New Roman" w:hAnsi="Times New Roman" w:eastAsia="楷体_GB2312" w:cs="Times New Roman"/>
        </w:rPr>
      </w:pPr>
      <w:r>
        <w:rPr>
          <w:rFonts w:hint="default" w:ascii="Times New Roman" w:hAnsi="Times New Roman" w:eastAsia="楷体_GB2312" w:cs="Times New Roman"/>
        </w:rPr>
        <w:t xml:space="preserve"> </w:t>
      </w:r>
    </w:p>
    <w:p w14:paraId="36248927">
      <w:pPr>
        <w:rPr>
          <w:rFonts w:hint="default" w:ascii="Times New Roman" w:hAnsi="Times New Roman" w:eastAsia="楷体_GB2312" w:cs="Times New Roman"/>
        </w:rPr>
        <w:sectPr>
          <w:footerReference r:id="rId4" w:type="first"/>
          <w:footerReference r:id="rId3" w:type="default"/>
          <w:pgSz w:w="11906" w:h="16838"/>
          <w:pgMar w:top="1440" w:right="1803" w:bottom="1440" w:left="1803" w:header="851" w:footer="397" w:gutter="0"/>
          <w:pgNumType w:fmt="decimal"/>
          <w:cols w:space="0" w:num="1"/>
          <w:titlePg/>
          <w:docGrid w:type="lines" w:linePitch="579" w:charSpace="0"/>
        </w:sectPr>
      </w:pPr>
    </w:p>
    <w:p w14:paraId="2E2CDA79">
      <w:pPr>
        <w:jc w:val="center"/>
        <w:rPr>
          <w:rFonts w:hint="default" w:ascii="Times New Roman" w:hAnsi="Times New Roman" w:eastAsia="楷体_GB2312" w:cs="Times New Roman"/>
        </w:rPr>
      </w:pPr>
      <w:r>
        <w:rPr>
          <w:rFonts w:hint="default" w:ascii="Times New Roman" w:hAnsi="Times New Roman" w:eastAsia="楷体_GB2312" w:cs="Times New Roman"/>
        </w:rPr>
        <w:t xml:space="preserve"> </w:t>
      </w:r>
    </w:p>
    <w:p w14:paraId="17529146">
      <w:pPr>
        <w:jc w:val="center"/>
        <w:rPr>
          <w:rFonts w:hint="default" w:ascii="Times New Roman" w:hAnsi="Times New Roman" w:eastAsia="楷体_GB2312" w:cs="Times New Roman"/>
        </w:rPr>
      </w:pPr>
      <w:r>
        <w:rPr>
          <w:rFonts w:hint="default" w:ascii="Times New Roman" w:hAnsi="Times New Roman" w:eastAsia="楷体_GB2312" w:cs="Times New Roman"/>
        </w:rPr>
        <w:t xml:space="preserve"> </w:t>
      </w:r>
    </w:p>
    <w:p w14:paraId="61C1D8A2">
      <w:pPr>
        <w:jc w:val="center"/>
        <w:rPr>
          <w:rFonts w:hint="default" w:ascii="Times New Roman" w:hAnsi="Times New Roman" w:eastAsia="楷体_GB2312" w:cs="Times New Roman"/>
        </w:rPr>
      </w:pPr>
      <w:r>
        <w:rPr>
          <w:rFonts w:hint="default" w:ascii="Times New Roman" w:hAnsi="Times New Roman" w:eastAsia="楷体_GB2312" w:cs="Times New Roman"/>
        </w:rPr>
        <w:t>填表说明</w:t>
      </w:r>
    </w:p>
    <w:p w14:paraId="653FE945">
      <w:pPr>
        <w:jc w:val="center"/>
        <w:rPr>
          <w:rFonts w:hint="default" w:ascii="Times New Roman" w:hAnsi="Times New Roman" w:eastAsia="楷体_GB2312" w:cs="Times New Roman"/>
        </w:rPr>
      </w:pPr>
      <w:r>
        <w:rPr>
          <w:rFonts w:hint="default" w:ascii="Times New Roman" w:hAnsi="Times New Roman" w:eastAsia="楷体_GB2312" w:cs="Times New Roman"/>
        </w:rPr>
        <w:t xml:space="preserve"> </w:t>
      </w:r>
    </w:p>
    <w:p w14:paraId="7F8B249A">
      <w:pPr>
        <w:ind w:firstLine="640" w:firstLineChars="200"/>
        <w:jc w:val="left"/>
        <w:rPr>
          <w:rFonts w:hint="default" w:ascii="Times New Roman" w:hAnsi="Times New Roman" w:eastAsia="楷体_GB2312" w:cs="Times New Roman"/>
        </w:rPr>
      </w:pPr>
      <w:r>
        <w:rPr>
          <w:rFonts w:hint="default" w:ascii="Times New Roman" w:hAnsi="Times New Roman" w:eastAsia="楷体_GB2312" w:cs="Times New Roman"/>
        </w:rPr>
        <w:t>1.本表用于各学校填报新增拟招生的职业本科教育专业信息。</w:t>
      </w:r>
    </w:p>
    <w:p w14:paraId="16B684AC">
      <w:pPr>
        <w:ind w:firstLine="640" w:firstLineChars="200"/>
        <w:jc w:val="left"/>
        <w:rPr>
          <w:rFonts w:hint="default" w:ascii="Times New Roman" w:hAnsi="Times New Roman" w:eastAsia="楷体_GB2312" w:cs="Times New Roman"/>
        </w:rPr>
      </w:pPr>
      <w:r>
        <w:rPr>
          <w:rFonts w:hint="default" w:ascii="Times New Roman" w:hAnsi="Times New Roman" w:eastAsia="楷体_GB2312" w:cs="Times New Roman"/>
        </w:rPr>
        <w:t>2.根据《本科层次职业教育专业设置管理办法（试行）》（以下简称《办法》）的要求如实填报。</w:t>
      </w:r>
    </w:p>
    <w:p w14:paraId="5E4BBF2D">
      <w:pPr>
        <w:ind w:firstLine="640" w:firstLineChars="200"/>
        <w:jc w:val="left"/>
        <w:rPr>
          <w:rFonts w:hint="default" w:ascii="Times New Roman" w:hAnsi="Times New Roman" w:eastAsia="楷体_GB2312" w:cs="Times New Roman"/>
        </w:rPr>
      </w:pPr>
      <w:r>
        <w:rPr>
          <w:rFonts w:hint="default" w:ascii="Times New Roman" w:hAnsi="Times New Roman" w:eastAsia="楷体_GB2312" w:cs="Times New Roman"/>
        </w:rPr>
        <w:t>3.表中所填内容要言简意赅，如有需要可另附报告，一个专业对应的报告单独一册，双面打印，单独装订。</w:t>
      </w:r>
    </w:p>
    <w:p w14:paraId="42B63FBA">
      <w:pPr>
        <w:ind w:firstLine="640" w:firstLineChars="200"/>
        <w:jc w:val="left"/>
        <w:rPr>
          <w:rFonts w:hint="default" w:ascii="Times New Roman" w:hAnsi="Times New Roman" w:eastAsia="楷体_GB2312" w:cs="Times New Roman"/>
        </w:rPr>
      </w:pPr>
      <w:r>
        <w:rPr>
          <w:rFonts w:hint="default" w:ascii="Times New Roman" w:hAnsi="Times New Roman" w:eastAsia="楷体_GB2312" w:cs="Times New Roman"/>
        </w:rPr>
        <w:t>4.学校承诺本表所填师资、办学条件等基本情况真实、准确，如有虚假，一经发现，严肃处理。</w:t>
      </w:r>
    </w:p>
    <w:p w14:paraId="0B0ED00D">
      <w:pPr>
        <w:widowControl/>
        <w:overflowPunct w:val="0"/>
        <w:adjustRightInd w:val="0"/>
        <w:ind w:firstLine="640" w:firstLineChars="200"/>
        <w:rPr>
          <w:rFonts w:hint="default" w:ascii="Times New Roman" w:hAnsi="Times New Roman" w:cs="Times New Roman"/>
        </w:rPr>
      </w:pPr>
      <w:r>
        <w:rPr>
          <w:rFonts w:hint="default" w:ascii="Times New Roman" w:hAnsi="Times New Roman" w:cs="Times New Roman"/>
        </w:rPr>
        <w:t xml:space="preserve"> </w:t>
      </w:r>
    </w:p>
    <w:p w14:paraId="1B9438B1">
      <w:pPr>
        <w:widowControl/>
        <w:overflowPunct w:val="0"/>
        <w:adjustRightInd w:val="0"/>
        <w:ind w:firstLine="640" w:firstLineChars="200"/>
        <w:rPr>
          <w:rFonts w:hint="default" w:ascii="Times New Roman" w:hAnsi="Times New Roman" w:cs="Times New Roman"/>
        </w:rPr>
      </w:pPr>
      <w:r>
        <w:rPr>
          <w:rFonts w:hint="default" w:ascii="Times New Roman" w:hAnsi="Times New Roman" w:cs="Times New Roman"/>
        </w:rPr>
        <w:t xml:space="preserve"> </w:t>
      </w:r>
    </w:p>
    <w:p w14:paraId="6D0B7537">
      <w:pPr>
        <w:widowControl/>
        <w:overflowPunct w:val="0"/>
        <w:adjustRightInd w:val="0"/>
        <w:ind w:firstLine="640" w:firstLineChars="200"/>
        <w:rPr>
          <w:rFonts w:hint="default" w:ascii="Times New Roman" w:hAnsi="Times New Roman" w:cs="Times New Roman"/>
        </w:rPr>
      </w:pPr>
      <w:r>
        <w:rPr>
          <w:rFonts w:hint="default" w:ascii="Times New Roman" w:hAnsi="Times New Roman" w:cs="Times New Roman"/>
        </w:rPr>
        <w:t xml:space="preserve"> </w:t>
      </w:r>
    </w:p>
    <w:p w14:paraId="43352F4E">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4C997869">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5E449068">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1B2BB27F">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18F59AD2">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7C28D0C8">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3680729D">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14:paraId="166E37A5">
      <w:pPr>
        <w:rPr>
          <w:rFonts w:hint="default" w:ascii="Times New Roman" w:hAnsi="Times New Roman" w:eastAsia="方正仿宋简体" w:cs="Times New Roman"/>
          <w:sz w:val="24"/>
          <w:szCs w:val="24"/>
        </w:rPr>
        <w:sectPr>
          <w:pgSz w:w="11906" w:h="16838"/>
          <w:pgMar w:top="1440" w:right="1803" w:bottom="1440" w:left="1803" w:header="851" w:footer="397" w:gutter="0"/>
          <w:pgNumType w:fmt="decimal"/>
          <w:cols w:space="0" w:num="1"/>
          <w:titlePg/>
          <w:docGrid w:type="lines" w:linePitch="579" w:charSpace="0"/>
        </w:sectPr>
      </w:pPr>
    </w:p>
    <w:tbl>
      <w:tblPr>
        <w:tblStyle w:val="15"/>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21"/>
        <w:gridCol w:w="1984"/>
        <w:gridCol w:w="3260"/>
        <w:gridCol w:w="1675"/>
      </w:tblGrid>
      <w:tr w14:paraId="4912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5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2A32D73">
            <w:pPr>
              <w:snapToGrid w:val="0"/>
              <w:jc w:val="left"/>
              <w:textAlignment w:val="center"/>
              <w:rPr>
                <w:rFonts w:hint="default" w:ascii="Times New Roman" w:hAnsi="Times New Roman" w:cs="Times New Roman"/>
                <w:sz w:val="24"/>
                <w:szCs w:val="24"/>
              </w:rPr>
            </w:pPr>
            <w:r>
              <w:rPr>
                <w:rFonts w:hint="default" w:ascii="Times New Roman" w:hAnsi="Times New Roman" w:cs="Times New Roman"/>
                <w:b/>
                <w:bCs/>
                <w:sz w:val="24"/>
                <w:szCs w:val="24"/>
              </w:rPr>
              <w:t>拟招生专业基本情况：</w:t>
            </w:r>
          </w:p>
        </w:tc>
      </w:tr>
      <w:tr w14:paraId="2683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4D5D1">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拟招生专业名称</w:t>
            </w:r>
          </w:p>
        </w:tc>
        <w:tc>
          <w:tcPr>
            <w:tcW w:w="1984" w:type="dxa"/>
            <w:tcBorders>
              <w:top w:val="single" w:color="auto" w:sz="4" w:space="0"/>
              <w:left w:val="nil"/>
              <w:bottom w:val="single" w:color="auto" w:sz="4" w:space="0"/>
              <w:right w:val="single" w:color="auto" w:sz="4" w:space="0"/>
            </w:tcBorders>
            <w:shd w:val="clear" w:color="auto" w:fill="auto"/>
            <w:vAlign w:val="center"/>
          </w:tcPr>
          <w:p w14:paraId="4EAD3BDC">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应用化工技术</w:t>
            </w:r>
          </w:p>
        </w:tc>
        <w:tc>
          <w:tcPr>
            <w:tcW w:w="3260" w:type="dxa"/>
            <w:tcBorders>
              <w:top w:val="single" w:color="auto" w:sz="4" w:space="0"/>
              <w:left w:val="nil"/>
              <w:bottom w:val="single" w:color="auto" w:sz="4" w:space="0"/>
              <w:right w:val="single" w:color="auto" w:sz="4" w:space="0"/>
            </w:tcBorders>
            <w:shd w:val="clear" w:color="auto" w:fill="auto"/>
            <w:vAlign w:val="center"/>
          </w:tcPr>
          <w:p w14:paraId="2968CEC4">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专业代码</w:t>
            </w:r>
          </w:p>
        </w:tc>
        <w:tc>
          <w:tcPr>
            <w:tcW w:w="1675" w:type="dxa"/>
            <w:tcBorders>
              <w:top w:val="single" w:color="auto" w:sz="4" w:space="0"/>
              <w:left w:val="nil"/>
              <w:bottom w:val="single" w:color="auto" w:sz="4" w:space="0"/>
              <w:right w:val="single" w:color="auto" w:sz="4" w:space="0"/>
            </w:tcBorders>
            <w:shd w:val="clear" w:color="auto" w:fill="auto"/>
            <w:vAlign w:val="center"/>
          </w:tcPr>
          <w:p w14:paraId="6646D800">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270201</w:t>
            </w:r>
          </w:p>
        </w:tc>
      </w:tr>
      <w:tr w14:paraId="7115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55D0D4">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办学性质</w:t>
            </w:r>
          </w:p>
        </w:tc>
        <w:tc>
          <w:tcPr>
            <w:tcW w:w="1984" w:type="dxa"/>
            <w:tcBorders>
              <w:top w:val="single" w:color="auto" w:sz="4" w:space="0"/>
              <w:left w:val="nil"/>
              <w:bottom w:val="single" w:color="auto" w:sz="4" w:space="0"/>
              <w:right w:val="single" w:color="auto" w:sz="4" w:space="0"/>
            </w:tcBorders>
            <w:shd w:val="clear" w:color="auto" w:fill="auto"/>
            <w:vAlign w:val="center"/>
          </w:tcPr>
          <w:p w14:paraId="3B1893A5">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color w:val="000000"/>
                <w:sz w:val="24"/>
                <w:szCs w:val="24"/>
              </w:rPr>
              <w:t>公办</w:t>
            </w:r>
          </w:p>
        </w:tc>
        <w:tc>
          <w:tcPr>
            <w:tcW w:w="3260" w:type="dxa"/>
            <w:tcBorders>
              <w:top w:val="single" w:color="auto" w:sz="4" w:space="0"/>
              <w:left w:val="nil"/>
              <w:bottom w:val="single" w:color="auto" w:sz="4" w:space="0"/>
              <w:right w:val="single" w:color="auto" w:sz="4" w:space="0"/>
            </w:tcBorders>
            <w:shd w:val="clear" w:color="auto" w:fill="auto"/>
            <w:vAlign w:val="center"/>
          </w:tcPr>
          <w:p w14:paraId="32DE60EE">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学位授予学科门类</w:t>
            </w:r>
          </w:p>
        </w:tc>
        <w:tc>
          <w:tcPr>
            <w:tcW w:w="1675" w:type="dxa"/>
            <w:tcBorders>
              <w:top w:val="single" w:color="auto" w:sz="4" w:space="0"/>
              <w:left w:val="nil"/>
              <w:bottom w:val="single" w:color="auto" w:sz="4" w:space="0"/>
              <w:right w:val="single" w:color="auto" w:sz="4" w:space="0"/>
            </w:tcBorders>
            <w:shd w:val="clear" w:color="auto" w:fill="auto"/>
            <w:vAlign w:val="center"/>
          </w:tcPr>
          <w:p w14:paraId="157CED0A">
            <w:pPr>
              <w:snapToGrid w:val="0"/>
              <w:jc w:val="center"/>
              <w:textAlignment w:val="center"/>
              <w:rPr>
                <w:rFonts w:hint="eastAsia" w:ascii="Times New Roman" w:hAnsi="Times New Roman" w:eastAsia="仿宋_GB2312" w:cs="Times New Roman"/>
                <w:sz w:val="24"/>
                <w:szCs w:val="24"/>
                <w:lang w:eastAsia="zh-CN"/>
              </w:rPr>
            </w:pPr>
            <w:r>
              <w:rPr>
                <w:rFonts w:hint="eastAsia" w:cs="Times New Roman"/>
                <w:sz w:val="24"/>
                <w:szCs w:val="24"/>
                <w:lang w:eastAsia="zh-CN"/>
              </w:rPr>
              <w:t>工学</w:t>
            </w:r>
          </w:p>
        </w:tc>
      </w:tr>
      <w:tr w14:paraId="65BB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9C533D">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拟招生数（人）</w:t>
            </w:r>
          </w:p>
        </w:tc>
        <w:tc>
          <w:tcPr>
            <w:tcW w:w="1984" w:type="dxa"/>
            <w:tcBorders>
              <w:top w:val="single" w:color="auto" w:sz="4" w:space="0"/>
              <w:left w:val="nil"/>
              <w:bottom w:val="single" w:color="auto" w:sz="4" w:space="0"/>
              <w:right w:val="single" w:color="auto" w:sz="4" w:space="0"/>
            </w:tcBorders>
            <w:shd w:val="clear" w:color="auto" w:fill="auto"/>
            <w:vAlign w:val="center"/>
          </w:tcPr>
          <w:p w14:paraId="38CFD7AD">
            <w:pPr>
              <w:snapToGrid w:val="0"/>
              <w:jc w:val="center"/>
              <w:textAlignment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80</w:t>
            </w:r>
          </w:p>
        </w:tc>
        <w:tc>
          <w:tcPr>
            <w:tcW w:w="3260" w:type="dxa"/>
            <w:tcBorders>
              <w:top w:val="single" w:color="auto" w:sz="4" w:space="0"/>
              <w:left w:val="nil"/>
              <w:bottom w:val="single" w:color="auto" w:sz="4" w:space="0"/>
              <w:right w:val="single" w:color="auto" w:sz="4" w:space="0"/>
            </w:tcBorders>
            <w:shd w:val="clear" w:color="auto" w:fill="auto"/>
            <w:vAlign w:val="center"/>
          </w:tcPr>
          <w:p w14:paraId="1AA796E4">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学制</w:t>
            </w:r>
          </w:p>
        </w:tc>
        <w:tc>
          <w:tcPr>
            <w:tcW w:w="1675" w:type="dxa"/>
            <w:tcBorders>
              <w:top w:val="single" w:color="auto" w:sz="4" w:space="0"/>
              <w:left w:val="nil"/>
              <w:bottom w:val="single" w:color="auto" w:sz="4" w:space="0"/>
              <w:right w:val="single" w:color="auto" w:sz="4" w:space="0"/>
            </w:tcBorders>
            <w:shd w:val="clear" w:color="auto" w:fill="auto"/>
            <w:vAlign w:val="center"/>
          </w:tcPr>
          <w:p w14:paraId="11B2DB4E">
            <w:pPr>
              <w:snapToGrid w:val="0"/>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cs="Times New Roman"/>
                <w:sz w:val="24"/>
                <w:szCs w:val="24"/>
              </w:rPr>
              <w:t>2</w:t>
            </w:r>
            <w:r>
              <w:rPr>
                <w:rFonts w:hint="eastAsia" w:cs="Times New Roman"/>
                <w:sz w:val="24"/>
                <w:szCs w:val="24"/>
                <w:lang w:eastAsia="zh-CN"/>
              </w:rPr>
              <w:t>年</w:t>
            </w:r>
          </w:p>
        </w:tc>
      </w:tr>
      <w:tr w14:paraId="1F3F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BFDCB6">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总学时</w:t>
            </w:r>
          </w:p>
        </w:tc>
        <w:tc>
          <w:tcPr>
            <w:tcW w:w="1984" w:type="dxa"/>
            <w:tcBorders>
              <w:top w:val="single" w:color="auto" w:sz="4" w:space="0"/>
              <w:left w:val="nil"/>
              <w:bottom w:val="single" w:color="auto" w:sz="4" w:space="0"/>
              <w:right w:val="single" w:color="auto" w:sz="4" w:space="0"/>
            </w:tcBorders>
            <w:shd w:val="clear" w:color="auto" w:fill="auto"/>
            <w:vAlign w:val="center"/>
          </w:tcPr>
          <w:p w14:paraId="4711EF1C">
            <w:pPr>
              <w:snapToGrid w:val="0"/>
              <w:jc w:val="center"/>
              <w:textAlignment w:val="center"/>
              <w:rPr>
                <w:rFonts w:hint="default" w:ascii="Times New Roman" w:hAnsi="Times New Roman" w:cs="Times New Roman"/>
                <w:sz w:val="24"/>
                <w:szCs w:val="24"/>
                <w:highlight w:val="none"/>
              </w:rPr>
            </w:pPr>
            <w:r>
              <w:rPr>
                <w:rFonts w:hint="default" w:cs="Times New Roman"/>
                <w:sz w:val="24"/>
                <w:szCs w:val="24"/>
                <w:highlight w:val="none"/>
              </w:rPr>
              <w:t>1472</w:t>
            </w:r>
          </w:p>
        </w:tc>
        <w:tc>
          <w:tcPr>
            <w:tcW w:w="3260" w:type="dxa"/>
            <w:tcBorders>
              <w:top w:val="single" w:color="auto" w:sz="4" w:space="0"/>
              <w:left w:val="nil"/>
              <w:bottom w:val="single" w:color="auto" w:sz="4" w:space="0"/>
              <w:right w:val="single" w:color="auto" w:sz="4" w:space="0"/>
            </w:tcBorders>
            <w:shd w:val="clear" w:color="auto" w:fill="auto"/>
            <w:vAlign w:val="center"/>
          </w:tcPr>
          <w:p w14:paraId="42375E9D">
            <w:pPr>
              <w:snapToGrid w:val="0"/>
              <w:jc w:val="center"/>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实践教学学时</w:t>
            </w:r>
          </w:p>
        </w:tc>
        <w:tc>
          <w:tcPr>
            <w:tcW w:w="1675" w:type="dxa"/>
            <w:tcBorders>
              <w:top w:val="single" w:color="auto" w:sz="4" w:space="0"/>
              <w:left w:val="nil"/>
              <w:bottom w:val="single" w:color="auto" w:sz="4" w:space="0"/>
              <w:right w:val="single" w:color="auto" w:sz="4" w:space="0"/>
            </w:tcBorders>
            <w:shd w:val="clear" w:color="auto" w:fill="auto"/>
            <w:vAlign w:val="center"/>
          </w:tcPr>
          <w:p w14:paraId="53C309C4">
            <w:pPr>
              <w:snapToGrid w:val="0"/>
              <w:jc w:val="center"/>
              <w:textAlignment w:val="center"/>
              <w:rPr>
                <w:rFonts w:hint="default" w:ascii="Times New Roman" w:hAnsi="Times New Roman" w:cs="Times New Roman"/>
                <w:sz w:val="24"/>
                <w:szCs w:val="24"/>
                <w:highlight w:val="none"/>
              </w:rPr>
            </w:pPr>
            <w:r>
              <w:rPr>
                <w:rFonts w:hint="default" w:cs="Times New Roman"/>
                <w:sz w:val="24"/>
                <w:szCs w:val="24"/>
                <w:highlight w:val="none"/>
              </w:rPr>
              <w:t>816</w:t>
            </w:r>
          </w:p>
        </w:tc>
      </w:tr>
      <w:tr w14:paraId="1D13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EA4741">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实践教学学时占总学时的比例（%）</w:t>
            </w:r>
          </w:p>
        </w:tc>
        <w:tc>
          <w:tcPr>
            <w:tcW w:w="1984" w:type="dxa"/>
            <w:tcBorders>
              <w:top w:val="single" w:color="auto" w:sz="4" w:space="0"/>
              <w:left w:val="nil"/>
              <w:bottom w:val="single" w:color="auto" w:sz="4" w:space="0"/>
              <w:right w:val="single" w:color="auto" w:sz="4" w:space="0"/>
            </w:tcBorders>
            <w:shd w:val="clear" w:color="auto" w:fill="auto"/>
            <w:vAlign w:val="center"/>
          </w:tcPr>
          <w:p w14:paraId="1E095A2D">
            <w:pPr>
              <w:snapToGrid w:val="0"/>
              <w:jc w:val="center"/>
              <w:textAlignment w:val="center"/>
              <w:rPr>
                <w:rFonts w:hint="default" w:ascii="Times New Roman" w:hAnsi="Times New Roman" w:cs="Times New Roman"/>
                <w:sz w:val="24"/>
                <w:szCs w:val="24"/>
                <w:highlight w:val="none"/>
              </w:rPr>
            </w:pPr>
            <w:r>
              <w:rPr>
                <w:rFonts w:hint="default" w:cs="Times New Roman"/>
                <w:sz w:val="24"/>
                <w:szCs w:val="24"/>
                <w:highlight w:val="none"/>
              </w:rPr>
              <w:t>55.43</w:t>
            </w:r>
          </w:p>
        </w:tc>
        <w:tc>
          <w:tcPr>
            <w:tcW w:w="3260" w:type="dxa"/>
            <w:tcBorders>
              <w:top w:val="single" w:color="auto" w:sz="4" w:space="0"/>
              <w:left w:val="nil"/>
              <w:bottom w:val="single" w:color="auto" w:sz="4" w:space="0"/>
              <w:right w:val="single" w:color="auto" w:sz="4" w:space="0"/>
            </w:tcBorders>
            <w:shd w:val="clear" w:color="auto" w:fill="auto"/>
            <w:vAlign w:val="center"/>
          </w:tcPr>
          <w:p w14:paraId="3C7D702B">
            <w:pPr>
              <w:snapToGrid w:val="0"/>
              <w:jc w:val="center"/>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实验实训项目（任务）能够开出率（%）</w:t>
            </w:r>
          </w:p>
        </w:tc>
        <w:tc>
          <w:tcPr>
            <w:tcW w:w="1675" w:type="dxa"/>
            <w:tcBorders>
              <w:top w:val="single" w:color="auto" w:sz="4" w:space="0"/>
              <w:left w:val="nil"/>
              <w:bottom w:val="single" w:color="auto" w:sz="4" w:space="0"/>
              <w:right w:val="single" w:color="auto" w:sz="4" w:space="0"/>
            </w:tcBorders>
            <w:shd w:val="clear" w:color="auto" w:fill="auto"/>
            <w:vAlign w:val="center"/>
          </w:tcPr>
          <w:p w14:paraId="56B9A19D">
            <w:pPr>
              <w:snapToGrid w:val="0"/>
              <w:jc w:val="center"/>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100</w:t>
            </w:r>
          </w:p>
        </w:tc>
      </w:tr>
      <w:tr w14:paraId="3C85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64462D">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“双师型”教师占比（%）</w:t>
            </w:r>
          </w:p>
        </w:tc>
        <w:tc>
          <w:tcPr>
            <w:tcW w:w="1984" w:type="dxa"/>
            <w:tcBorders>
              <w:top w:val="single" w:color="auto" w:sz="4" w:space="0"/>
              <w:left w:val="nil"/>
              <w:bottom w:val="single" w:color="auto" w:sz="4" w:space="0"/>
              <w:right w:val="single" w:color="auto" w:sz="4" w:space="0"/>
            </w:tcBorders>
            <w:shd w:val="clear" w:color="auto" w:fill="auto"/>
            <w:vAlign w:val="center"/>
          </w:tcPr>
          <w:p w14:paraId="56E1306A">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62.50</w:t>
            </w:r>
          </w:p>
        </w:tc>
        <w:tc>
          <w:tcPr>
            <w:tcW w:w="3260" w:type="dxa"/>
            <w:tcBorders>
              <w:top w:val="single" w:color="auto" w:sz="4" w:space="0"/>
              <w:left w:val="nil"/>
              <w:bottom w:val="single" w:color="auto" w:sz="4" w:space="0"/>
              <w:right w:val="single" w:color="auto" w:sz="4" w:space="0"/>
            </w:tcBorders>
            <w:shd w:val="clear" w:color="auto" w:fill="auto"/>
            <w:vAlign w:val="center"/>
          </w:tcPr>
          <w:p w14:paraId="6FBED3DD">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兼职教师数（人）</w:t>
            </w:r>
          </w:p>
        </w:tc>
        <w:tc>
          <w:tcPr>
            <w:tcW w:w="1675" w:type="dxa"/>
            <w:tcBorders>
              <w:top w:val="single" w:color="auto" w:sz="4" w:space="0"/>
              <w:left w:val="nil"/>
              <w:bottom w:val="single" w:color="auto" w:sz="4" w:space="0"/>
              <w:right w:val="single" w:color="auto" w:sz="4" w:space="0"/>
            </w:tcBorders>
            <w:shd w:val="clear" w:color="auto" w:fill="auto"/>
            <w:vAlign w:val="center"/>
          </w:tcPr>
          <w:p w14:paraId="7004A189">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16</w:t>
            </w:r>
          </w:p>
        </w:tc>
      </w:tr>
      <w:tr w14:paraId="186D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878904">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兼职教师计划承担的专业课授课学时占专业课总学时的比例（%） </w:t>
            </w:r>
          </w:p>
        </w:tc>
        <w:tc>
          <w:tcPr>
            <w:tcW w:w="1984" w:type="dxa"/>
            <w:tcBorders>
              <w:top w:val="single" w:color="auto" w:sz="4" w:space="0"/>
              <w:left w:val="nil"/>
              <w:bottom w:val="single" w:color="auto" w:sz="4" w:space="0"/>
              <w:right w:val="single" w:color="auto" w:sz="4" w:space="0"/>
            </w:tcBorders>
            <w:shd w:val="clear" w:color="auto" w:fill="auto"/>
            <w:vAlign w:val="center"/>
          </w:tcPr>
          <w:p w14:paraId="662B1FCB">
            <w:pPr>
              <w:snapToGrid w:val="0"/>
              <w:jc w:val="center"/>
              <w:textAlignment w:val="center"/>
              <w:rPr>
                <w:rFonts w:hint="default" w:ascii="Times New Roman" w:hAnsi="Times New Roman" w:cs="Times New Roman"/>
                <w:color w:val="FF0000"/>
                <w:sz w:val="24"/>
                <w:szCs w:val="24"/>
              </w:rPr>
            </w:pPr>
            <w:r>
              <w:rPr>
                <w:rFonts w:hint="default" w:cs="Times New Roman"/>
                <w:sz w:val="24"/>
                <w:szCs w:val="24"/>
                <w:highlight w:val="none"/>
              </w:rPr>
              <w:t>21.74</w:t>
            </w:r>
          </w:p>
        </w:tc>
        <w:tc>
          <w:tcPr>
            <w:tcW w:w="3260" w:type="dxa"/>
            <w:tcBorders>
              <w:top w:val="single" w:color="auto" w:sz="4" w:space="0"/>
              <w:left w:val="nil"/>
              <w:bottom w:val="single" w:color="auto" w:sz="4" w:space="0"/>
              <w:right w:val="single" w:color="auto" w:sz="4" w:space="0"/>
            </w:tcBorders>
            <w:shd w:val="clear" w:color="auto" w:fill="auto"/>
            <w:vAlign w:val="center"/>
          </w:tcPr>
          <w:p w14:paraId="73DD5D0C">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是否有省级及以上教育行政部门等认定的高水平教师教学（科研）创新团队 </w:t>
            </w:r>
          </w:p>
        </w:tc>
        <w:tc>
          <w:tcPr>
            <w:tcW w:w="1675" w:type="dxa"/>
            <w:tcBorders>
              <w:top w:val="single" w:color="auto" w:sz="4" w:space="0"/>
              <w:left w:val="nil"/>
              <w:bottom w:val="single" w:color="auto" w:sz="4" w:space="0"/>
              <w:right w:val="single" w:color="auto" w:sz="4" w:space="0"/>
            </w:tcBorders>
            <w:shd w:val="clear" w:color="auto" w:fill="auto"/>
            <w:vAlign w:val="center"/>
          </w:tcPr>
          <w:p w14:paraId="45457A17">
            <w:pPr>
              <w:snapToGrid w:val="0"/>
              <w:jc w:val="center"/>
              <w:textAlignment w:val="center"/>
              <w:rPr>
                <w:rFonts w:hint="default" w:ascii="Times New Roman" w:hAnsi="Times New Roman" w:cs="Times New Roman"/>
                <w:color w:val="FF0000"/>
                <w:sz w:val="24"/>
                <w:szCs w:val="24"/>
              </w:rPr>
            </w:pPr>
            <w:r>
              <w:rPr>
                <w:rFonts w:hint="default" w:ascii="Times New Roman" w:hAnsi="Times New Roman" w:cs="Times New Roman"/>
                <w:sz w:val="24"/>
                <w:szCs w:val="24"/>
              </w:rPr>
              <w:t>是</w:t>
            </w:r>
          </w:p>
        </w:tc>
      </w:tr>
      <w:tr w14:paraId="58E4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52F2F8">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省级及以上教学名师数量（人）</w:t>
            </w:r>
          </w:p>
        </w:tc>
        <w:tc>
          <w:tcPr>
            <w:tcW w:w="1984" w:type="dxa"/>
            <w:tcBorders>
              <w:top w:val="single" w:color="auto" w:sz="4" w:space="0"/>
              <w:left w:val="nil"/>
              <w:bottom w:val="single" w:color="auto" w:sz="4" w:space="0"/>
              <w:right w:val="single" w:color="auto" w:sz="4" w:space="0"/>
            </w:tcBorders>
            <w:shd w:val="clear" w:color="auto" w:fill="auto"/>
            <w:vAlign w:val="center"/>
          </w:tcPr>
          <w:p w14:paraId="2ABDB326">
            <w:pPr>
              <w:snapToGrid w:val="0"/>
              <w:jc w:val="center"/>
              <w:textAlignment w:val="center"/>
              <w:rPr>
                <w:rFonts w:hint="default" w:ascii="Times New Roman" w:hAnsi="Times New Roman" w:cs="Times New Roman"/>
                <w:color w:val="FF0000"/>
                <w:sz w:val="24"/>
                <w:szCs w:val="24"/>
              </w:rPr>
            </w:pPr>
            <w:r>
              <w:rPr>
                <w:rFonts w:hint="default" w:ascii="Times New Roman" w:hAnsi="Times New Roman" w:cs="Times New Roman"/>
                <w:sz w:val="24"/>
                <w:szCs w:val="24"/>
              </w:rPr>
              <w:t>3</w:t>
            </w:r>
          </w:p>
        </w:tc>
        <w:tc>
          <w:tcPr>
            <w:tcW w:w="3260" w:type="dxa"/>
            <w:tcBorders>
              <w:top w:val="single" w:color="auto" w:sz="4" w:space="0"/>
              <w:left w:val="nil"/>
              <w:bottom w:val="single" w:color="auto" w:sz="4" w:space="0"/>
              <w:right w:val="single" w:color="auto" w:sz="4" w:space="0"/>
            </w:tcBorders>
            <w:shd w:val="clear" w:color="auto" w:fill="auto"/>
            <w:vAlign w:val="center"/>
          </w:tcPr>
          <w:p w14:paraId="150346B0">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省级及以上教学领域有关奖励数量（项） </w:t>
            </w:r>
          </w:p>
        </w:tc>
        <w:tc>
          <w:tcPr>
            <w:tcW w:w="1675" w:type="dxa"/>
            <w:tcBorders>
              <w:top w:val="single" w:color="auto" w:sz="4" w:space="0"/>
              <w:left w:val="nil"/>
              <w:bottom w:val="single" w:color="auto" w:sz="4" w:space="0"/>
              <w:right w:val="single" w:color="auto" w:sz="4" w:space="0"/>
            </w:tcBorders>
            <w:shd w:val="clear" w:color="auto" w:fill="auto"/>
            <w:vAlign w:val="center"/>
          </w:tcPr>
          <w:p w14:paraId="053496C0">
            <w:pPr>
              <w:snapToGrid w:val="0"/>
              <w:jc w:val="center"/>
              <w:textAlignment w:val="center"/>
              <w:rPr>
                <w:rFonts w:hint="default" w:ascii="Times New Roman" w:hAnsi="Times New Roman" w:cs="Times New Roman"/>
                <w:color w:val="FF0000"/>
                <w:sz w:val="24"/>
                <w:szCs w:val="24"/>
              </w:rPr>
            </w:pPr>
            <w:r>
              <w:rPr>
                <w:rFonts w:hint="default" w:ascii="Times New Roman" w:hAnsi="Times New Roman" w:cs="Times New Roman"/>
                <w:color w:val="000000"/>
                <w:sz w:val="24"/>
                <w:szCs w:val="24"/>
              </w:rPr>
              <w:t>3</w:t>
            </w:r>
          </w:p>
        </w:tc>
      </w:tr>
      <w:tr w14:paraId="5D6C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0963AF">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生均教学科研仪器设备值（万元） </w:t>
            </w:r>
          </w:p>
        </w:tc>
        <w:tc>
          <w:tcPr>
            <w:tcW w:w="1984" w:type="dxa"/>
            <w:tcBorders>
              <w:top w:val="single" w:color="auto" w:sz="4" w:space="0"/>
              <w:left w:val="nil"/>
              <w:bottom w:val="single" w:color="auto" w:sz="4" w:space="0"/>
              <w:right w:val="single" w:color="auto" w:sz="4" w:space="0"/>
            </w:tcBorders>
            <w:shd w:val="clear" w:color="auto" w:fill="auto"/>
            <w:vAlign w:val="center"/>
          </w:tcPr>
          <w:p w14:paraId="08BC3A69">
            <w:pPr>
              <w:snapToGrid w:val="0"/>
              <w:jc w:val="center"/>
              <w:textAlignment w:val="center"/>
              <w:rPr>
                <w:rFonts w:hint="default" w:ascii="Times New Roman" w:hAnsi="Times New Roman" w:cs="Times New Roman"/>
                <w:color w:val="FF0000"/>
                <w:sz w:val="24"/>
                <w:szCs w:val="24"/>
              </w:rPr>
            </w:pPr>
            <w:r>
              <w:rPr>
                <w:rFonts w:hint="default" w:ascii="Times New Roman" w:hAnsi="Times New Roman" w:cs="Times New Roman"/>
                <w:sz w:val="24"/>
                <w:szCs w:val="24"/>
              </w:rPr>
              <w:t>16.06</w:t>
            </w:r>
          </w:p>
        </w:tc>
        <w:tc>
          <w:tcPr>
            <w:tcW w:w="3260" w:type="dxa"/>
            <w:tcBorders>
              <w:top w:val="single" w:color="auto" w:sz="4" w:space="0"/>
              <w:left w:val="nil"/>
              <w:bottom w:val="single" w:color="auto" w:sz="4" w:space="0"/>
              <w:right w:val="single" w:color="auto" w:sz="4" w:space="0"/>
            </w:tcBorders>
            <w:shd w:val="clear" w:color="auto" w:fill="auto"/>
            <w:vAlign w:val="center"/>
          </w:tcPr>
          <w:p w14:paraId="17785FB4">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是否有省级及以上技术研发推广平台</w:t>
            </w:r>
          </w:p>
        </w:tc>
        <w:tc>
          <w:tcPr>
            <w:tcW w:w="1675" w:type="dxa"/>
            <w:tcBorders>
              <w:top w:val="single" w:color="auto" w:sz="4" w:space="0"/>
              <w:left w:val="nil"/>
              <w:bottom w:val="single" w:color="auto" w:sz="4" w:space="0"/>
              <w:right w:val="single" w:color="auto" w:sz="4" w:space="0"/>
            </w:tcBorders>
            <w:shd w:val="clear" w:color="auto" w:fill="auto"/>
            <w:vAlign w:val="center"/>
          </w:tcPr>
          <w:p w14:paraId="3F7BD129">
            <w:pPr>
              <w:snapToGrid w:val="0"/>
              <w:jc w:val="center"/>
              <w:textAlignment w:val="center"/>
              <w:rPr>
                <w:rFonts w:hint="default" w:ascii="Times New Roman" w:hAnsi="Times New Roman" w:cs="Times New Roman"/>
                <w:color w:val="FF0000"/>
                <w:sz w:val="24"/>
                <w:szCs w:val="24"/>
              </w:rPr>
            </w:pPr>
            <w:r>
              <w:rPr>
                <w:rFonts w:hint="default" w:ascii="Times New Roman" w:hAnsi="Times New Roman" w:cs="Times New Roman"/>
                <w:sz w:val="24"/>
                <w:szCs w:val="24"/>
              </w:rPr>
              <w:t>是</w:t>
            </w:r>
          </w:p>
        </w:tc>
      </w:tr>
      <w:tr w14:paraId="0FBF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589"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14:paraId="5FBDC185">
            <w:pPr>
              <w:snapToGrid w:val="0"/>
              <w:jc w:val="left"/>
              <w:textAlignment w:val="center"/>
              <w:rPr>
                <w:rFonts w:hint="default" w:ascii="Times New Roman" w:hAnsi="Times New Roman" w:cs="Times New Roman"/>
                <w:sz w:val="24"/>
                <w:szCs w:val="24"/>
              </w:rPr>
            </w:pPr>
            <w:r>
              <w:rPr>
                <w:rFonts w:hint="default" w:ascii="Times New Roman" w:hAnsi="Times New Roman" w:cs="Times New Roman"/>
                <w:b/>
                <w:bCs/>
                <w:sz w:val="24"/>
                <w:szCs w:val="24"/>
              </w:rPr>
              <w:t>所依托主要专业基本情况：</w:t>
            </w:r>
            <w:r>
              <w:rPr>
                <w:rFonts w:hint="default" w:ascii="Times New Roman" w:hAnsi="Times New Roman" w:cs="Times New Roman"/>
                <w:sz w:val="24"/>
                <w:szCs w:val="24"/>
              </w:rPr>
              <w:t xml:space="preserve"> </w:t>
            </w:r>
          </w:p>
        </w:tc>
      </w:tr>
      <w:tr w14:paraId="129B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6714F">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专业名称</w:t>
            </w:r>
          </w:p>
        </w:tc>
        <w:tc>
          <w:tcPr>
            <w:tcW w:w="1984" w:type="dxa"/>
            <w:tcBorders>
              <w:top w:val="single" w:color="000000" w:sz="4" w:space="0"/>
              <w:left w:val="nil"/>
              <w:bottom w:val="single" w:color="000000" w:sz="4" w:space="0"/>
              <w:right w:val="single" w:color="000000" w:sz="4" w:space="0"/>
            </w:tcBorders>
            <w:shd w:val="clear" w:color="auto" w:fill="auto"/>
            <w:vAlign w:val="center"/>
          </w:tcPr>
          <w:p w14:paraId="79E0043D">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化学工程与工艺</w:t>
            </w:r>
          </w:p>
        </w:tc>
        <w:tc>
          <w:tcPr>
            <w:tcW w:w="3260" w:type="dxa"/>
            <w:tcBorders>
              <w:top w:val="single" w:color="000000" w:sz="4" w:space="0"/>
              <w:left w:val="nil"/>
              <w:bottom w:val="single" w:color="000000" w:sz="4" w:space="0"/>
              <w:right w:val="single" w:color="000000" w:sz="4" w:space="0"/>
            </w:tcBorders>
            <w:shd w:val="clear" w:color="auto" w:fill="auto"/>
            <w:vAlign w:val="center"/>
          </w:tcPr>
          <w:p w14:paraId="2398D28F">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专业代码</w:t>
            </w:r>
          </w:p>
        </w:tc>
        <w:tc>
          <w:tcPr>
            <w:tcW w:w="1675" w:type="dxa"/>
            <w:tcBorders>
              <w:top w:val="single" w:color="000000" w:sz="4" w:space="0"/>
              <w:left w:val="nil"/>
              <w:bottom w:val="single" w:color="000000" w:sz="4" w:space="0"/>
              <w:right w:val="single" w:color="000000" w:sz="4" w:space="0"/>
            </w:tcBorders>
            <w:shd w:val="clear" w:color="auto" w:fill="auto"/>
            <w:vAlign w:val="center"/>
          </w:tcPr>
          <w:p w14:paraId="1D4FCC22">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081301</w:t>
            </w:r>
          </w:p>
        </w:tc>
      </w:tr>
      <w:tr w14:paraId="1D11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1A2A7">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专业开设时间</w:t>
            </w:r>
          </w:p>
        </w:tc>
        <w:tc>
          <w:tcPr>
            <w:tcW w:w="1984" w:type="dxa"/>
            <w:tcBorders>
              <w:top w:val="single" w:color="000000" w:sz="4" w:space="0"/>
              <w:left w:val="nil"/>
              <w:bottom w:val="single" w:color="000000" w:sz="4" w:space="0"/>
              <w:right w:val="single" w:color="000000" w:sz="4" w:space="0"/>
            </w:tcBorders>
            <w:shd w:val="clear" w:color="auto" w:fill="auto"/>
            <w:vAlign w:val="center"/>
          </w:tcPr>
          <w:p w14:paraId="5F1CD8D7">
            <w:pPr>
              <w:snapToGrid w:val="0"/>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cs="Times New Roman"/>
                <w:sz w:val="24"/>
                <w:szCs w:val="24"/>
              </w:rPr>
              <w:t>2010</w:t>
            </w:r>
            <w:r>
              <w:rPr>
                <w:rFonts w:hint="eastAsia" w:cs="Times New Roman"/>
                <w:sz w:val="24"/>
                <w:szCs w:val="24"/>
                <w:lang w:eastAsia="zh-CN"/>
              </w:rPr>
              <w:t>年</w:t>
            </w:r>
          </w:p>
        </w:tc>
        <w:tc>
          <w:tcPr>
            <w:tcW w:w="3260" w:type="dxa"/>
            <w:tcBorders>
              <w:top w:val="single" w:color="000000" w:sz="4" w:space="0"/>
              <w:left w:val="nil"/>
              <w:bottom w:val="single" w:color="000000" w:sz="4" w:space="0"/>
              <w:right w:val="single" w:color="000000" w:sz="4" w:space="0"/>
            </w:tcBorders>
            <w:shd w:val="clear" w:color="auto" w:fill="auto"/>
            <w:vAlign w:val="center"/>
          </w:tcPr>
          <w:p w14:paraId="23C30FF3">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是否为省级以上重点（特色）专业</w:t>
            </w:r>
          </w:p>
        </w:tc>
        <w:tc>
          <w:tcPr>
            <w:tcW w:w="1675" w:type="dxa"/>
            <w:tcBorders>
              <w:top w:val="single" w:color="000000" w:sz="4" w:space="0"/>
              <w:left w:val="nil"/>
              <w:bottom w:val="single" w:color="000000" w:sz="4" w:space="0"/>
              <w:right w:val="single" w:color="000000" w:sz="4" w:space="0"/>
            </w:tcBorders>
            <w:shd w:val="clear" w:color="auto" w:fill="auto"/>
            <w:vAlign w:val="center"/>
          </w:tcPr>
          <w:p w14:paraId="68165789">
            <w:pPr>
              <w:snapToGrid w:val="0"/>
              <w:jc w:val="center"/>
              <w:textAlignment w:val="center"/>
              <w:rPr>
                <w:rFonts w:hint="eastAsia" w:ascii="Times New Roman" w:hAnsi="Times New Roman" w:eastAsia="仿宋_GB2312" w:cs="Times New Roman"/>
                <w:sz w:val="24"/>
                <w:szCs w:val="24"/>
                <w:lang w:eastAsia="zh-CN"/>
              </w:rPr>
            </w:pPr>
            <w:r>
              <w:rPr>
                <w:rFonts w:hint="eastAsia" w:cs="Times New Roman"/>
                <w:sz w:val="24"/>
                <w:szCs w:val="24"/>
                <w:lang w:eastAsia="zh-CN"/>
              </w:rPr>
              <w:t>是</w:t>
            </w:r>
          </w:p>
        </w:tc>
      </w:tr>
      <w:tr w14:paraId="7F0A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30F0D">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本专业全日制在校生数（人）</w:t>
            </w:r>
          </w:p>
        </w:tc>
        <w:tc>
          <w:tcPr>
            <w:tcW w:w="1984" w:type="dxa"/>
            <w:tcBorders>
              <w:top w:val="single" w:color="000000" w:sz="4" w:space="0"/>
              <w:left w:val="nil"/>
              <w:bottom w:val="single" w:color="000000" w:sz="4" w:space="0"/>
              <w:right w:val="single" w:color="000000" w:sz="4" w:space="0"/>
            </w:tcBorders>
            <w:shd w:val="clear" w:color="auto" w:fill="auto"/>
            <w:vAlign w:val="center"/>
          </w:tcPr>
          <w:p w14:paraId="5045BB0C">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398</w:t>
            </w:r>
          </w:p>
        </w:tc>
        <w:tc>
          <w:tcPr>
            <w:tcW w:w="3260" w:type="dxa"/>
            <w:tcBorders>
              <w:top w:val="single" w:color="000000" w:sz="4" w:space="0"/>
              <w:left w:val="nil"/>
              <w:bottom w:val="single" w:color="000000" w:sz="4" w:space="0"/>
              <w:right w:val="single" w:color="000000" w:sz="4" w:space="0"/>
            </w:tcBorders>
            <w:shd w:val="clear" w:color="auto" w:fill="auto"/>
            <w:vAlign w:val="center"/>
          </w:tcPr>
          <w:p w14:paraId="7BFF3E62">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本专业专任教师数（人）</w:t>
            </w:r>
          </w:p>
        </w:tc>
        <w:tc>
          <w:tcPr>
            <w:tcW w:w="1675" w:type="dxa"/>
            <w:tcBorders>
              <w:top w:val="single" w:color="000000" w:sz="4" w:space="0"/>
              <w:left w:val="nil"/>
              <w:bottom w:val="single" w:color="000000" w:sz="4" w:space="0"/>
              <w:right w:val="single" w:color="000000" w:sz="4" w:space="0"/>
            </w:tcBorders>
            <w:shd w:val="clear" w:color="auto" w:fill="auto"/>
            <w:vAlign w:val="center"/>
          </w:tcPr>
          <w:p w14:paraId="2A7CE735">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cs="Times New Roman"/>
                <w:sz w:val="24"/>
                <w:szCs w:val="24"/>
              </w:rPr>
              <w:t>2</w:t>
            </w:r>
          </w:p>
        </w:tc>
      </w:tr>
      <w:tr w14:paraId="2EE8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7D2A0">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专任教师与全日制在校生人数之比</w:t>
            </w:r>
          </w:p>
        </w:tc>
        <w:tc>
          <w:tcPr>
            <w:tcW w:w="1984" w:type="dxa"/>
            <w:tcBorders>
              <w:top w:val="single" w:color="000000" w:sz="4" w:space="0"/>
              <w:left w:val="nil"/>
              <w:bottom w:val="single" w:color="000000" w:sz="4" w:space="0"/>
              <w:right w:val="single" w:color="000000" w:sz="4" w:space="0"/>
            </w:tcBorders>
            <w:shd w:val="clear" w:color="auto" w:fill="auto"/>
            <w:vAlign w:val="center"/>
          </w:tcPr>
          <w:p w14:paraId="0C072546">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1:13</w:t>
            </w:r>
          </w:p>
        </w:tc>
        <w:tc>
          <w:tcPr>
            <w:tcW w:w="3260" w:type="dxa"/>
            <w:tcBorders>
              <w:top w:val="single" w:color="000000" w:sz="4" w:space="0"/>
              <w:left w:val="nil"/>
              <w:bottom w:val="single" w:color="000000" w:sz="4" w:space="0"/>
              <w:right w:val="single" w:color="000000" w:sz="4" w:space="0"/>
            </w:tcBorders>
            <w:shd w:val="clear" w:color="auto" w:fill="auto"/>
            <w:vAlign w:val="center"/>
          </w:tcPr>
          <w:p w14:paraId="761F724F">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高级职称专任教师比例（%）</w:t>
            </w:r>
          </w:p>
        </w:tc>
        <w:tc>
          <w:tcPr>
            <w:tcW w:w="1675" w:type="dxa"/>
            <w:tcBorders>
              <w:top w:val="single" w:color="000000" w:sz="4" w:space="0"/>
              <w:left w:val="nil"/>
              <w:bottom w:val="single" w:color="000000" w:sz="4" w:space="0"/>
              <w:right w:val="single" w:color="000000" w:sz="4" w:space="0"/>
            </w:tcBorders>
            <w:shd w:val="clear" w:color="auto" w:fill="auto"/>
            <w:vAlign w:val="center"/>
          </w:tcPr>
          <w:p w14:paraId="7910729B">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65.63</w:t>
            </w:r>
          </w:p>
        </w:tc>
      </w:tr>
      <w:tr w14:paraId="7D68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8D94C">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具有研究生学位专任教师比例（%） </w:t>
            </w:r>
          </w:p>
        </w:tc>
        <w:tc>
          <w:tcPr>
            <w:tcW w:w="1984" w:type="dxa"/>
            <w:tcBorders>
              <w:top w:val="single" w:color="000000" w:sz="4" w:space="0"/>
              <w:left w:val="nil"/>
              <w:bottom w:val="single" w:color="000000" w:sz="4" w:space="0"/>
              <w:right w:val="single" w:color="000000" w:sz="4" w:space="0"/>
            </w:tcBorders>
            <w:shd w:val="clear" w:color="auto" w:fill="auto"/>
            <w:vAlign w:val="center"/>
          </w:tcPr>
          <w:p w14:paraId="68AF63D3">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81.25</w:t>
            </w:r>
          </w:p>
        </w:tc>
        <w:tc>
          <w:tcPr>
            <w:tcW w:w="3260" w:type="dxa"/>
            <w:tcBorders>
              <w:top w:val="single" w:color="000000" w:sz="4" w:space="0"/>
              <w:left w:val="nil"/>
              <w:bottom w:val="single" w:color="000000" w:sz="4" w:space="0"/>
              <w:right w:val="single" w:color="000000" w:sz="4" w:space="0"/>
            </w:tcBorders>
            <w:shd w:val="clear" w:color="auto" w:fill="auto"/>
            <w:vAlign w:val="center"/>
          </w:tcPr>
          <w:p w14:paraId="5F71FD9F">
            <w:pPr>
              <w:snapToGrid w:val="0"/>
              <w:jc w:val="center"/>
              <w:textAlignment w:val="center"/>
              <w:rPr>
                <w:rFonts w:hint="default" w:ascii="Times New Roman" w:hAnsi="Times New Roman" w:cs="Times New Roman"/>
                <w:sz w:val="24"/>
                <w:szCs w:val="24"/>
              </w:rPr>
            </w:pPr>
            <w:bookmarkStart w:id="0" w:name="_Hlk184553042"/>
            <w:r>
              <w:rPr>
                <w:rFonts w:hint="default" w:ascii="Times New Roman" w:hAnsi="Times New Roman" w:cs="Times New Roman"/>
                <w:sz w:val="24"/>
                <w:szCs w:val="24"/>
              </w:rPr>
              <w:t>具有博士研究生学位专任教师比例（%）</w:t>
            </w:r>
            <w:bookmarkEnd w:id="0"/>
          </w:p>
        </w:tc>
        <w:tc>
          <w:tcPr>
            <w:tcW w:w="1675" w:type="dxa"/>
            <w:tcBorders>
              <w:top w:val="single" w:color="000000" w:sz="4" w:space="0"/>
              <w:left w:val="nil"/>
              <w:bottom w:val="single" w:color="000000" w:sz="4" w:space="0"/>
              <w:right w:val="single" w:color="000000" w:sz="4" w:space="0"/>
            </w:tcBorders>
            <w:shd w:val="clear" w:color="auto" w:fill="auto"/>
            <w:vAlign w:val="center"/>
          </w:tcPr>
          <w:p w14:paraId="47DE5244">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78.13</w:t>
            </w:r>
          </w:p>
        </w:tc>
      </w:tr>
      <w:tr w14:paraId="11D2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418C8">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2024年面向行业企业和社会开展职业培训人次 </w:t>
            </w:r>
          </w:p>
        </w:tc>
        <w:tc>
          <w:tcPr>
            <w:tcW w:w="1984" w:type="dxa"/>
            <w:tcBorders>
              <w:top w:val="single" w:color="000000" w:sz="4" w:space="0"/>
              <w:left w:val="nil"/>
              <w:bottom w:val="single" w:color="000000" w:sz="4" w:space="0"/>
              <w:right w:val="single" w:color="000000" w:sz="4" w:space="0"/>
            </w:tcBorders>
            <w:shd w:val="clear" w:color="auto" w:fill="auto"/>
            <w:vAlign w:val="center"/>
          </w:tcPr>
          <w:p w14:paraId="36CE8F51">
            <w:pPr>
              <w:snapToGrid w:val="0"/>
              <w:jc w:val="center"/>
              <w:textAlignment w:val="center"/>
              <w:rPr>
                <w:rFonts w:hint="default" w:ascii="Times New Roman" w:hAnsi="Times New Roman" w:cs="Times New Roman"/>
                <w:color w:val="FF0000"/>
                <w:sz w:val="24"/>
                <w:szCs w:val="24"/>
              </w:rPr>
            </w:pPr>
            <w:r>
              <w:rPr>
                <w:rFonts w:hint="default" w:ascii="Times New Roman" w:hAnsi="Times New Roman" w:cs="Times New Roman"/>
                <w:sz w:val="24"/>
                <w:szCs w:val="24"/>
              </w:rPr>
              <w:t>1030</w:t>
            </w:r>
          </w:p>
        </w:tc>
        <w:tc>
          <w:tcPr>
            <w:tcW w:w="3260" w:type="dxa"/>
            <w:tcBorders>
              <w:top w:val="single" w:color="000000" w:sz="4" w:space="0"/>
              <w:left w:val="nil"/>
              <w:bottom w:val="single" w:color="000000" w:sz="4" w:space="0"/>
              <w:right w:val="single" w:color="000000" w:sz="4" w:space="0"/>
            </w:tcBorders>
            <w:shd w:val="clear" w:color="auto" w:fill="auto"/>
            <w:vAlign w:val="center"/>
          </w:tcPr>
          <w:p w14:paraId="3D80626E">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2024年招生计划完成率（%） </w:t>
            </w:r>
          </w:p>
        </w:tc>
        <w:tc>
          <w:tcPr>
            <w:tcW w:w="1675" w:type="dxa"/>
            <w:tcBorders>
              <w:top w:val="single" w:color="000000" w:sz="4" w:space="0"/>
              <w:left w:val="nil"/>
              <w:bottom w:val="single" w:color="000000" w:sz="4" w:space="0"/>
              <w:right w:val="single" w:color="000000" w:sz="4" w:space="0"/>
            </w:tcBorders>
            <w:shd w:val="clear" w:color="auto" w:fill="auto"/>
            <w:vAlign w:val="center"/>
          </w:tcPr>
          <w:p w14:paraId="73A685ED">
            <w:pPr>
              <w:snapToGrid w:val="0"/>
              <w:jc w:val="center"/>
              <w:textAlignment w:val="center"/>
              <w:rPr>
                <w:rFonts w:hint="eastAsia" w:ascii="Times New Roman" w:hAnsi="Times New Roman" w:eastAsia="仿宋_GB2312" w:cs="Times New Roman"/>
                <w:color w:val="FF0000"/>
                <w:sz w:val="24"/>
                <w:szCs w:val="24"/>
                <w:lang w:val="en-US" w:eastAsia="zh-CN"/>
              </w:rPr>
            </w:pPr>
            <w:r>
              <w:rPr>
                <w:rFonts w:hint="default" w:ascii="Times New Roman" w:hAnsi="Times New Roman" w:cs="Times New Roman"/>
                <w:color w:val="000000" w:themeColor="text1"/>
                <w:sz w:val="24"/>
                <w:szCs w:val="24"/>
                <w14:textFill>
                  <w14:solidFill>
                    <w14:schemeClr w14:val="tx1"/>
                  </w14:solidFill>
                </w14:textFill>
              </w:rPr>
              <w:t>1</w:t>
            </w:r>
            <w:r>
              <w:rPr>
                <w:rFonts w:hint="eastAsia" w:cs="Times New Roman"/>
                <w:color w:val="000000" w:themeColor="text1"/>
                <w:sz w:val="24"/>
                <w:szCs w:val="24"/>
                <w:lang w:val="en-US" w:eastAsia="zh-CN"/>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0</w:t>
            </w:r>
          </w:p>
        </w:tc>
      </w:tr>
      <w:tr w14:paraId="634B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F3785">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2024年新生报到率（%） </w:t>
            </w:r>
          </w:p>
        </w:tc>
        <w:tc>
          <w:tcPr>
            <w:tcW w:w="1984" w:type="dxa"/>
            <w:tcBorders>
              <w:top w:val="single" w:color="000000" w:sz="4" w:space="0"/>
              <w:left w:val="nil"/>
              <w:bottom w:val="single" w:color="000000" w:sz="4" w:space="0"/>
              <w:right w:val="single" w:color="000000" w:sz="4" w:space="0"/>
            </w:tcBorders>
            <w:shd w:val="clear" w:color="auto" w:fill="auto"/>
            <w:vAlign w:val="center"/>
          </w:tcPr>
          <w:p w14:paraId="4E89EAB8">
            <w:pPr>
              <w:snapToGrid w:val="0"/>
              <w:jc w:val="center"/>
              <w:textAlignment w:val="center"/>
              <w:rPr>
                <w:rFonts w:hint="default" w:ascii="Times New Roman" w:hAnsi="Times New Roman" w:cs="Times New Roman"/>
                <w:color w:val="FF0000"/>
                <w:sz w:val="24"/>
                <w:szCs w:val="24"/>
              </w:rPr>
            </w:pPr>
            <w:r>
              <w:rPr>
                <w:rFonts w:hint="default" w:ascii="Times New Roman" w:hAnsi="Times New Roman" w:cs="Times New Roman"/>
                <w:color w:val="000000" w:themeColor="text1"/>
                <w:sz w:val="24"/>
                <w:szCs w:val="24"/>
                <w14:textFill>
                  <w14:solidFill>
                    <w14:schemeClr w14:val="tx1"/>
                  </w14:solidFill>
                </w14:textFill>
              </w:rPr>
              <w:t>98.18</w:t>
            </w:r>
          </w:p>
        </w:tc>
        <w:tc>
          <w:tcPr>
            <w:tcW w:w="3260" w:type="dxa"/>
            <w:tcBorders>
              <w:top w:val="single" w:color="000000" w:sz="4" w:space="0"/>
              <w:left w:val="nil"/>
              <w:bottom w:val="single" w:color="000000" w:sz="4" w:space="0"/>
              <w:right w:val="single" w:color="000000" w:sz="4" w:space="0"/>
            </w:tcBorders>
            <w:shd w:val="clear" w:color="auto" w:fill="auto"/>
            <w:vAlign w:val="center"/>
          </w:tcPr>
          <w:p w14:paraId="3A521078">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2024年应届生就业率（%） </w:t>
            </w:r>
          </w:p>
        </w:tc>
        <w:tc>
          <w:tcPr>
            <w:tcW w:w="1675" w:type="dxa"/>
            <w:tcBorders>
              <w:top w:val="single" w:color="000000" w:sz="4" w:space="0"/>
              <w:left w:val="nil"/>
              <w:bottom w:val="single" w:color="000000" w:sz="4" w:space="0"/>
              <w:right w:val="single" w:color="000000" w:sz="4" w:space="0"/>
            </w:tcBorders>
            <w:shd w:val="clear" w:color="auto" w:fill="auto"/>
            <w:vAlign w:val="center"/>
          </w:tcPr>
          <w:p w14:paraId="5BB30BE1">
            <w:pPr>
              <w:snapToGrid w:val="0"/>
              <w:jc w:val="center"/>
              <w:textAlignment w:val="center"/>
              <w:rPr>
                <w:rFonts w:hint="default" w:ascii="Times New Roman" w:hAnsi="Times New Roman" w:cs="Times New Roman"/>
                <w:color w:val="FF0000"/>
                <w:sz w:val="24"/>
                <w:szCs w:val="24"/>
              </w:rPr>
            </w:pPr>
            <w:r>
              <w:rPr>
                <w:rFonts w:hint="default" w:ascii="Times New Roman" w:hAnsi="Times New Roman" w:cs="Times New Roman"/>
                <w:color w:val="000000" w:themeColor="text1"/>
                <w:sz w:val="24"/>
                <w:szCs w:val="24"/>
                <w14:textFill>
                  <w14:solidFill>
                    <w14:schemeClr w14:val="tx1"/>
                  </w14:solidFill>
                </w14:textFill>
              </w:rPr>
              <w:t>93.55</w:t>
            </w:r>
          </w:p>
        </w:tc>
      </w:tr>
      <w:tr w14:paraId="5582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8"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B0069B5">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position w:val="6"/>
                <w:sz w:val="24"/>
                <w:szCs w:val="24"/>
              </w:rPr>
              <w:t>拟招生专业设置可行性</w:t>
            </w:r>
          </w:p>
        </w:tc>
        <w:tc>
          <w:tcPr>
            <w:tcW w:w="8940" w:type="dxa"/>
            <w:gridSpan w:val="4"/>
            <w:tcBorders>
              <w:top w:val="single" w:color="auto" w:sz="4" w:space="0"/>
              <w:left w:val="nil"/>
              <w:bottom w:val="single" w:color="auto" w:sz="4" w:space="0"/>
              <w:right w:val="single" w:color="auto" w:sz="4" w:space="0"/>
            </w:tcBorders>
            <w:shd w:val="clear" w:color="auto" w:fill="auto"/>
          </w:tcPr>
          <w:p w14:paraId="421B17AF">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 产业升级有需求</w:t>
            </w:r>
          </w:p>
          <w:p w14:paraId="4521AC20">
            <w:pPr>
              <w:keepNext w:val="0"/>
              <w:keepLines w:val="0"/>
              <w:widowControl w:val="0"/>
              <w:suppressLineNumbers w:val="0"/>
              <w:autoSpaceDE w:val="0"/>
              <w:snapToGrid w:val="0"/>
              <w:spacing w:before="0" w:beforeAutospacing="0" w:after="0" w:afterAutospacing="0" w:line="360" w:lineRule="auto"/>
              <w:ind w:left="0" w:right="0" w:firstLine="480" w:firstLineChars="200"/>
              <w:jc w:val="both"/>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lang w:val="en-US" w:eastAsia="zh-CN"/>
              </w:rPr>
              <w:t>2024年政府工作报告要求加快发展新质生产力，以数智赋能各个行业产业为背景下，</w:t>
            </w:r>
            <w:r>
              <w:rPr>
                <w:rFonts w:hint="default" w:ascii="Times New Roman" w:hAnsi="Times New Roman" w:cs="Times New Roman"/>
                <w:bCs/>
                <w:kern w:val="0"/>
                <w:sz w:val="24"/>
                <w:szCs w:val="24"/>
                <w:lang w:eastAsia="zh-CN"/>
              </w:rPr>
              <w:t>化工新材料行业</w:t>
            </w:r>
            <w:r>
              <w:rPr>
                <w:rFonts w:hint="default" w:ascii="Times New Roman" w:hAnsi="Times New Roman" w:cs="Times New Roman"/>
                <w:bCs/>
                <w:kern w:val="0"/>
                <w:sz w:val="24"/>
                <w:szCs w:val="24"/>
                <w:lang w:val="en-US" w:eastAsia="zh-CN"/>
              </w:rPr>
              <w:t>加快转型步伐，正向高效化、智能化、绿色化方向跃迁升级</w:t>
            </w:r>
            <w:r>
              <w:rPr>
                <w:rFonts w:hint="eastAsia" w:cs="Times New Roman"/>
                <w:bCs/>
                <w:kern w:val="0"/>
                <w:sz w:val="24"/>
                <w:szCs w:val="24"/>
                <w:lang w:val="en-US" w:eastAsia="zh-CN"/>
              </w:rPr>
              <w:t>，</w:t>
            </w:r>
            <w:r>
              <w:rPr>
                <w:rFonts w:hint="default" w:ascii="Times New Roman" w:hAnsi="Times New Roman" w:cs="Times New Roman"/>
                <w:bCs/>
                <w:kern w:val="0"/>
                <w:sz w:val="24"/>
                <w:szCs w:val="24"/>
                <w:lang w:eastAsia="zh-CN"/>
              </w:rPr>
              <w:t>借助</w:t>
            </w:r>
            <w:r>
              <w:rPr>
                <w:rFonts w:hint="default" w:ascii="Times New Roman" w:hAnsi="Times New Roman" w:cs="Times New Roman"/>
                <w:bCs/>
                <w:kern w:val="0"/>
                <w:sz w:val="24"/>
                <w:szCs w:val="24"/>
                <w:lang w:val="en-US" w:eastAsia="zh-CN"/>
              </w:rPr>
              <w:t>工业互联网、先进控制、人工智能、大数据等技术</w:t>
            </w:r>
            <w:r>
              <w:rPr>
                <w:rFonts w:hint="default" w:ascii="Times New Roman" w:hAnsi="Times New Roman" w:cs="Times New Roman"/>
                <w:bCs/>
                <w:kern w:val="0"/>
                <w:sz w:val="24"/>
                <w:szCs w:val="24"/>
                <w:lang w:eastAsia="zh-CN"/>
              </w:rPr>
              <w:t>化工生产的</w:t>
            </w:r>
            <w:r>
              <w:rPr>
                <w:rFonts w:hint="default" w:ascii="Times New Roman" w:hAnsi="Times New Roman" w:cs="Times New Roman"/>
                <w:bCs/>
                <w:kern w:val="0"/>
                <w:sz w:val="24"/>
                <w:szCs w:val="24"/>
              </w:rPr>
              <w:t>自</w:t>
            </w:r>
            <w:r>
              <w:rPr>
                <w:rFonts w:hint="default" w:ascii="Times New Roman" w:hAnsi="Times New Roman" w:cs="Times New Roman"/>
                <w:bCs/>
                <w:color w:val="000000"/>
                <w:kern w:val="0"/>
                <w:sz w:val="24"/>
                <w:szCs w:val="24"/>
              </w:rPr>
              <w:t>动化、信息化、智能化水平</w:t>
            </w:r>
            <w:r>
              <w:rPr>
                <w:rFonts w:hint="default" w:cs="Times New Roman"/>
                <w:bCs/>
                <w:color w:val="000000"/>
                <w:kern w:val="0"/>
                <w:sz w:val="24"/>
                <w:szCs w:val="24"/>
              </w:rPr>
              <w:t>迅速</w:t>
            </w:r>
            <w:r>
              <w:rPr>
                <w:rFonts w:hint="default" w:ascii="Times New Roman" w:hAnsi="Times New Roman" w:cs="Times New Roman"/>
                <w:bCs/>
                <w:kern w:val="0"/>
                <w:sz w:val="24"/>
                <w:szCs w:val="24"/>
              </w:rPr>
              <w:t>提高。企业需采用绿色工艺减少“三废”排放，发展太阳能电池材料、锂离子电池材料等新能源化工，推动能源结构调整。</w:t>
            </w:r>
            <w:r>
              <w:rPr>
                <w:rFonts w:hint="default" w:cs="Times New Roman"/>
                <w:bCs/>
                <w:kern w:val="0"/>
                <w:sz w:val="24"/>
                <w:szCs w:val="24"/>
              </w:rPr>
              <w:t>化工新材料</w:t>
            </w:r>
            <w:r>
              <w:rPr>
                <w:rFonts w:hint="default" w:ascii="Times New Roman" w:hAnsi="Times New Roman" w:cs="Times New Roman"/>
                <w:bCs/>
                <w:kern w:val="0"/>
                <w:sz w:val="24"/>
                <w:szCs w:val="24"/>
              </w:rPr>
              <w:t>产业结构优化使得对专业技能型人才需求不断增加。</w:t>
            </w:r>
          </w:p>
          <w:p w14:paraId="263DB166">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浙江重点打造的绿色石化（精细化工）产业已成为浙江最大支柱产业。2023年，集群营业收入超1.7万亿元，位居全国第三。浙江计划培育6个年产值超千亿元的化工园区。</w:t>
            </w:r>
            <w:r>
              <w:rPr>
                <w:rFonts w:hint="default" w:ascii="Times New Roman" w:hAnsi="Times New Roman" w:cs="Times New Roman"/>
                <w:bCs/>
                <w:kern w:val="0"/>
                <w:sz w:val="24"/>
                <w:szCs w:val="24"/>
                <w:lang w:val="en-US" w:eastAsia="zh-CN"/>
              </w:rPr>
              <w:t>2024年</w:t>
            </w:r>
            <w:r>
              <w:rPr>
                <w:rFonts w:hint="default" w:ascii="Times New Roman" w:hAnsi="Times New Roman" w:cs="Times New Roman"/>
                <w:bCs/>
                <w:kern w:val="0"/>
                <w:sz w:val="24"/>
                <w:szCs w:val="24"/>
              </w:rPr>
              <w:t>，浙江发布《浙江省绿色石化（精细化工）产业集群建设行动方案》，到2027年，建成世界级绿色石化产业基地，集群规上企业营业收入达2万亿元。《实施方案》明确产业发展的方向为规模化、高端化、融合化、智能化、绿色化。</w:t>
            </w:r>
          </w:p>
          <w:p w14:paraId="204D6D38">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衢州市</w:t>
            </w:r>
            <w:r>
              <w:rPr>
                <w:rFonts w:hint="default" w:ascii="Times New Roman" w:hAnsi="Times New Roman" w:cs="Times New Roman"/>
                <w:bCs/>
                <w:kern w:val="0"/>
                <w:sz w:val="24"/>
                <w:szCs w:val="24"/>
                <w:lang w:eastAsia="zh-CN"/>
              </w:rPr>
              <w:t>通过</w:t>
            </w:r>
            <w:r>
              <w:rPr>
                <w:rFonts w:hint="default" w:ascii="Times New Roman" w:hAnsi="Times New Roman" w:cs="Times New Roman"/>
                <w:bCs/>
                <w:kern w:val="0"/>
                <w:sz w:val="24"/>
                <w:szCs w:val="24"/>
              </w:rPr>
              <w:t>实施“415X”制造业集群培育方案（2023-2027年），推动</w:t>
            </w:r>
            <w:r>
              <w:rPr>
                <w:rFonts w:hint="default" w:cs="Times New Roman"/>
                <w:bCs/>
                <w:kern w:val="0"/>
                <w:sz w:val="24"/>
                <w:szCs w:val="24"/>
              </w:rPr>
              <w:t>化工新材料</w:t>
            </w:r>
            <w:r>
              <w:rPr>
                <w:rFonts w:hint="default" w:ascii="Times New Roman" w:hAnsi="Times New Roman" w:cs="Times New Roman"/>
                <w:bCs/>
                <w:kern w:val="0"/>
                <w:sz w:val="24"/>
                <w:szCs w:val="24"/>
              </w:rPr>
              <w:t>产业链企业及新项目向智造新城和工业园区集中，加速高端</w:t>
            </w:r>
            <w:r>
              <w:rPr>
                <w:rFonts w:hint="default" w:cs="Times New Roman"/>
                <w:bCs/>
                <w:kern w:val="0"/>
                <w:sz w:val="24"/>
                <w:szCs w:val="24"/>
              </w:rPr>
              <w:t>化工新</w:t>
            </w:r>
            <w:r>
              <w:rPr>
                <w:rFonts w:hint="default" w:ascii="Times New Roman" w:hAnsi="Times New Roman" w:cs="Times New Roman"/>
                <w:bCs/>
                <w:kern w:val="0"/>
                <w:sz w:val="24"/>
                <w:szCs w:val="24"/>
              </w:rPr>
              <w:t>材料产业</w:t>
            </w:r>
            <w:r>
              <w:rPr>
                <w:rFonts w:hint="default" w:cs="Times New Roman"/>
                <w:bCs/>
                <w:kern w:val="0"/>
                <w:sz w:val="24"/>
                <w:szCs w:val="24"/>
              </w:rPr>
              <w:t>集群</w:t>
            </w:r>
            <w:r>
              <w:rPr>
                <w:rFonts w:hint="default" w:ascii="Times New Roman" w:hAnsi="Times New Roman" w:cs="Times New Roman"/>
                <w:bCs/>
                <w:kern w:val="0"/>
                <w:sz w:val="24"/>
                <w:szCs w:val="24"/>
              </w:rPr>
              <w:t>建设，提升</w:t>
            </w:r>
            <w:r>
              <w:rPr>
                <w:rFonts w:hint="default" w:ascii="Times New Roman" w:hAnsi="Times New Roman" w:cs="Times New Roman"/>
                <w:bCs/>
                <w:kern w:val="0"/>
                <w:sz w:val="24"/>
                <w:szCs w:val="24"/>
                <w:lang w:eastAsia="zh-CN"/>
              </w:rPr>
              <w:t>产业</w:t>
            </w:r>
            <w:r>
              <w:rPr>
                <w:rFonts w:hint="default" w:ascii="Times New Roman" w:hAnsi="Times New Roman" w:cs="Times New Roman"/>
                <w:bCs/>
                <w:kern w:val="0"/>
                <w:sz w:val="24"/>
                <w:szCs w:val="24"/>
              </w:rPr>
              <w:t>能级。急需建设应用化工技术本科专业</w:t>
            </w:r>
            <w:r>
              <w:rPr>
                <w:rFonts w:hint="default" w:ascii="Times New Roman" w:hAnsi="Times New Roman" w:cs="Times New Roman"/>
                <w:bCs/>
                <w:kern w:val="0"/>
                <w:sz w:val="24"/>
                <w:szCs w:val="24"/>
                <w:lang w:eastAsia="zh-CN"/>
              </w:rPr>
              <w:t>以</w:t>
            </w:r>
            <w:r>
              <w:rPr>
                <w:rFonts w:hint="default" w:ascii="Times New Roman" w:hAnsi="Times New Roman" w:cs="Times New Roman"/>
                <w:bCs/>
                <w:kern w:val="0"/>
                <w:sz w:val="24"/>
                <w:szCs w:val="24"/>
              </w:rPr>
              <w:t>适应产业转型</w:t>
            </w:r>
            <w:r>
              <w:rPr>
                <w:rFonts w:hint="default" w:ascii="Times New Roman" w:hAnsi="Times New Roman" w:cs="Times New Roman"/>
                <w:bCs/>
                <w:kern w:val="0"/>
                <w:sz w:val="24"/>
                <w:szCs w:val="24"/>
                <w:lang w:eastAsia="zh-CN"/>
              </w:rPr>
              <w:t>对人才的需求</w:t>
            </w:r>
            <w:r>
              <w:rPr>
                <w:rFonts w:hint="default" w:ascii="Times New Roman" w:hAnsi="Times New Roman" w:cs="Times New Roman"/>
                <w:bCs/>
                <w:kern w:val="0"/>
                <w:sz w:val="24"/>
                <w:szCs w:val="24"/>
              </w:rPr>
              <w:t>。据预测，化工类人才就业前景良好</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2025年</w:t>
            </w:r>
            <w:r>
              <w:rPr>
                <w:rFonts w:hint="default" w:ascii="Times New Roman" w:hAnsi="Times New Roman" w:cs="Times New Roman"/>
                <w:bCs/>
                <w:kern w:val="0"/>
                <w:sz w:val="24"/>
                <w:szCs w:val="24"/>
                <w:lang w:eastAsia="zh-CN"/>
              </w:rPr>
              <w:t>衢州</w:t>
            </w:r>
            <w:r>
              <w:rPr>
                <w:rFonts w:hint="default" w:ascii="Times New Roman" w:hAnsi="Times New Roman" w:cs="Times New Roman"/>
                <w:bCs/>
                <w:kern w:val="0"/>
                <w:sz w:val="24"/>
                <w:szCs w:val="24"/>
              </w:rPr>
              <w:t>市化工新能源材料产业人才需求达6000人，而区域人才供给</w:t>
            </w:r>
            <w:r>
              <w:rPr>
                <w:rFonts w:hint="default" w:ascii="Times New Roman" w:hAnsi="Times New Roman" w:cs="Times New Roman"/>
                <w:bCs/>
                <w:kern w:val="0"/>
                <w:sz w:val="24"/>
                <w:szCs w:val="24"/>
                <w:lang w:eastAsia="zh-CN"/>
              </w:rPr>
              <w:t>约为</w:t>
            </w:r>
            <w:r>
              <w:rPr>
                <w:rFonts w:hint="default" w:ascii="Times New Roman" w:hAnsi="Times New Roman" w:cs="Times New Roman"/>
                <w:bCs/>
                <w:kern w:val="0"/>
                <w:sz w:val="24"/>
                <w:szCs w:val="24"/>
              </w:rPr>
              <w:t>1900人，人才缺口大。</w:t>
            </w:r>
          </w:p>
          <w:p w14:paraId="467D7F87">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2. 专业办学有能力</w:t>
            </w:r>
          </w:p>
          <w:p w14:paraId="64EA3FE0">
            <w:pPr>
              <w:autoSpaceDE w:val="0"/>
              <w:snapToGrid w:val="0"/>
              <w:spacing w:line="360" w:lineRule="auto"/>
              <w:ind w:firstLine="480" w:firstLineChars="200"/>
              <w:textAlignment w:val="center"/>
              <w:rPr>
                <w:rFonts w:hint="default" w:ascii="Times New Roman" w:hAnsi="Times New Roman" w:cs="Times New Roman"/>
                <w:bCs/>
                <w:color w:val="000000"/>
                <w:kern w:val="0"/>
                <w:sz w:val="24"/>
                <w:szCs w:val="24"/>
              </w:rPr>
            </w:pPr>
            <w:r>
              <w:rPr>
                <w:rFonts w:hint="eastAsia"/>
                <w:bCs/>
                <w:kern w:val="0"/>
                <w:sz w:val="24"/>
                <w:szCs w:val="24"/>
                <w:highlight w:val="none"/>
              </w:rPr>
              <w:t>衢州学院于2024年获批硕士学位授予单位及材料与化工硕士学位授权点。</w:t>
            </w:r>
            <w:r>
              <w:rPr>
                <w:rFonts w:hint="default" w:ascii="Times New Roman" w:hAnsi="Times New Roman" w:cs="Times New Roman"/>
                <w:bCs/>
                <w:kern w:val="0"/>
                <w:sz w:val="24"/>
                <w:szCs w:val="24"/>
              </w:rPr>
              <w:t>应用化工技术专业依托的化学工程与工艺专业，为浙江省一流专业和“十三五”新兴特色建设专业，该专业于2022年通过国际工程教育专业认证，拥有化学工程与技术省级一流学科，氟硅新材料绿色制造浙江省工程研究中心，浙江省电子化学材料产教融合人才培养基地，浙江省氟硅新材料绿色制造训研创基地产教融合工程项目立项，参与共建浙江省衢州氟硅钴新材料产业创新服务综合体、浙江省氟材料产业技术创新战略联盟、“氟硅精细化学品及材料制造”浙江省2011协同创新中心</w:t>
            </w:r>
            <w:bookmarkStart w:id="1" w:name="_Hlk184304417"/>
            <w:r>
              <w:rPr>
                <w:rFonts w:hint="default" w:ascii="Times New Roman" w:hAnsi="Times New Roman" w:cs="Times New Roman"/>
                <w:bCs/>
                <w:kern w:val="0"/>
                <w:sz w:val="24"/>
                <w:szCs w:val="24"/>
              </w:rPr>
              <w:t>，下设化工研究所、氟硅新材料、分析测试中心等衢州市重点实验室</w:t>
            </w:r>
            <w:bookmarkEnd w:id="1"/>
            <w:r>
              <w:rPr>
                <w:rFonts w:hint="default" w:ascii="Times New Roman" w:hAnsi="Times New Roman" w:cs="Times New Roman"/>
                <w:bCs/>
                <w:kern w:val="0"/>
                <w:sz w:val="24"/>
                <w:szCs w:val="24"/>
              </w:rPr>
              <w:t>。现有专任教师3</w:t>
            </w:r>
            <w:r>
              <w:rPr>
                <w:rFonts w:hint="default" w:cs="Times New Roman"/>
                <w:bCs/>
                <w:kern w:val="0"/>
                <w:sz w:val="24"/>
                <w:szCs w:val="24"/>
              </w:rPr>
              <w:t>2</w:t>
            </w:r>
            <w:r>
              <w:rPr>
                <w:rFonts w:hint="default" w:ascii="Times New Roman" w:hAnsi="Times New Roman" w:cs="Times New Roman"/>
                <w:bCs/>
                <w:kern w:val="0"/>
                <w:sz w:val="24"/>
                <w:szCs w:val="24"/>
              </w:rPr>
              <w:t>人，其中教授8人、博士25人，副高</w:t>
            </w:r>
            <w:r>
              <w:rPr>
                <w:rFonts w:hint="default" w:ascii="Times New Roman" w:hAnsi="Times New Roman" w:cs="Times New Roman"/>
                <w:bCs/>
                <w:kern w:val="0"/>
                <w:sz w:val="24"/>
                <w:szCs w:val="24"/>
                <w:lang w:eastAsia="zh-CN"/>
              </w:rPr>
              <w:t>级</w:t>
            </w:r>
            <w:r>
              <w:rPr>
                <w:rFonts w:hint="default" w:ascii="Times New Roman" w:hAnsi="Times New Roman" w:cs="Times New Roman"/>
                <w:bCs/>
                <w:kern w:val="0"/>
                <w:sz w:val="24"/>
                <w:szCs w:val="24"/>
              </w:rPr>
              <w:t>以上职称21人。</w:t>
            </w:r>
            <w:r>
              <w:rPr>
                <w:rFonts w:hint="default" w:cs="Times New Roman"/>
                <w:bCs/>
                <w:kern w:val="0"/>
                <w:sz w:val="24"/>
                <w:szCs w:val="24"/>
              </w:rPr>
              <w:t>良好的办学能力和基础为新专业设置打下了坚实的基础。</w:t>
            </w:r>
          </w:p>
        </w:tc>
      </w:tr>
      <w:tr w14:paraId="3205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8"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3A6253D">
            <w:pPr>
              <w:snapToGrid w:val="0"/>
              <w:jc w:val="center"/>
              <w:textAlignment w:val="center"/>
              <w:rPr>
                <w:rFonts w:hint="default" w:ascii="Times New Roman" w:hAnsi="Times New Roman" w:cs="Times New Roman"/>
                <w:position w:val="6"/>
                <w:sz w:val="24"/>
                <w:szCs w:val="24"/>
              </w:rPr>
            </w:pPr>
            <w:r>
              <w:rPr>
                <w:rFonts w:hint="default" w:ascii="Times New Roman" w:hAnsi="Times New Roman" w:cs="Times New Roman"/>
                <w:position w:val="6"/>
                <w:sz w:val="24"/>
                <w:szCs w:val="24"/>
              </w:rPr>
              <w:t>拟招生专业设置可行性</w:t>
            </w:r>
          </w:p>
        </w:tc>
        <w:tc>
          <w:tcPr>
            <w:tcW w:w="8940" w:type="dxa"/>
            <w:gridSpan w:val="4"/>
            <w:tcBorders>
              <w:top w:val="single" w:color="auto" w:sz="4" w:space="0"/>
              <w:left w:val="nil"/>
              <w:bottom w:val="single" w:color="auto" w:sz="4" w:space="0"/>
              <w:right w:val="single" w:color="auto" w:sz="4" w:space="0"/>
            </w:tcBorders>
            <w:shd w:val="clear" w:color="auto" w:fill="auto"/>
          </w:tcPr>
          <w:p w14:paraId="09AF639B">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3. 培养目标有论证</w:t>
            </w:r>
          </w:p>
          <w:p w14:paraId="62A1DD41">
            <w:pPr>
              <w:keepNext w:val="0"/>
              <w:keepLines w:val="0"/>
              <w:widowControl w:val="0"/>
              <w:suppressLineNumbers w:val="0"/>
              <w:autoSpaceDE w:val="0"/>
              <w:snapToGrid w:val="0"/>
              <w:spacing w:before="0" w:beforeAutospacing="0" w:after="0" w:afterAutospacing="0" w:line="360" w:lineRule="auto"/>
              <w:ind w:left="0" w:right="0" w:firstLine="480" w:firstLineChars="200"/>
              <w:jc w:val="both"/>
              <w:textAlignment w:val="center"/>
              <w:rPr>
                <w:rFonts w:hint="default" w:ascii="Times New Roman" w:hAnsi="Times New Roman" w:eastAsia="仿宋_GB2312" w:cs="Times New Roman"/>
                <w:bCs/>
                <w:kern w:val="0"/>
                <w:sz w:val="24"/>
                <w:szCs w:val="24"/>
                <w:lang w:eastAsia="zh-CN"/>
              </w:rPr>
            </w:pPr>
            <w:r>
              <w:rPr>
                <w:rFonts w:hint="eastAsia" w:ascii="仿宋_GB2312" w:hAnsi="仿宋_GB2312" w:eastAsia="仿宋_GB2312" w:cs="仿宋_GB2312"/>
                <w:bCs/>
                <w:kern w:val="0"/>
                <w:sz w:val="24"/>
                <w:szCs w:val="24"/>
                <w:lang w:eastAsia="zh-CN"/>
              </w:rPr>
              <w:t>在行业、企业和高校广泛调研基础上，按照教育部印发《本科层次职业教育专业设置管理办法（试行）》，组织行业企业和高校专家对专业设置的可行性和必要性，以及专业人才培养目标定位、专业课程体系等进行论证。</w:t>
            </w:r>
            <w:r>
              <w:rPr>
                <w:rFonts w:hint="eastAsia" w:ascii="仿宋_GB2312" w:hAnsi="仿宋_GB2312" w:eastAsia="仿宋_GB2312" w:cs="仿宋_GB2312"/>
                <w:color w:val="000000"/>
                <w:kern w:val="0"/>
                <w:sz w:val="24"/>
                <w:szCs w:val="24"/>
                <w:lang w:val="en-US" w:eastAsia="zh-CN" w:bidi="ar"/>
              </w:rPr>
              <w:t>面向化学原料及化学制品制造行业的化工生产领域的化工生产班组长、化工工艺技术员、化工工艺工程师等职业，能够从事化工生产运行管理、工艺优化与技术开发、工程设计等工作的高层次创新型技术技能人才。</w:t>
            </w:r>
            <w:r>
              <w:rPr>
                <w:rFonts w:hint="eastAsia" w:ascii="仿宋_GB2312" w:hAnsi="仿宋_GB2312" w:eastAsia="仿宋_GB2312" w:cs="仿宋_GB2312"/>
                <w:bCs/>
                <w:kern w:val="0"/>
                <w:sz w:val="24"/>
                <w:szCs w:val="24"/>
                <w:lang w:eastAsia="zh-CN"/>
              </w:rPr>
              <w:t>服务区域化工新材料产业集群发展战略，引领制造业转型升级。</w:t>
            </w:r>
          </w:p>
          <w:p w14:paraId="5E4D35EC">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4. 专业发展有保障</w:t>
            </w:r>
          </w:p>
          <w:p w14:paraId="505D060E">
            <w:pPr>
              <w:autoSpaceDE w:val="0"/>
              <w:snapToGrid w:val="0"/>
              <w:spacing w:line="360" w:lineRule="auto"/>
              <w:ind w:firstLine="480" w:firstLineChars="200"/>
              <w:jc w:val="left"/>
              <w:textAlignment w:val="center"/>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lang w:eastAsia="zh-CN"/>
              </w:rPr>
              <w:t>学校</w:t>
            </w:r>
            <w:r>
              <w:rPr>
                <w:rFonts w:hint="default" w:ascii="Times New Roman" w:hAnsi="Times New Roman" w:eastAsia="仿宋_GB2312" w:cs="Times New Roman"/>
                <w:bCs/>
                <w:kern w:val="0"/>
                <w:sz w:val="24"/>
                <w:szCs w:val="24"/>
              </w:rPr>
              <w:t>出台《衢州学院“十四五”发展规划》、《衢州学院工程教育专业认证管理办法》等政策，完善应用化工技术职业本科</w:t>
            </w:r>
            <w:r>
              <w:rPr>
                <w:rFonts w:hint="default" w:ascii="Times New Roman" w:hAnsi="Times New Roman" w:eastAsia="仿宋_GB2312" w:cs="Times New Roman"/>
                <w:bCs/>
                <w:kern w:val="0"/>
                <w:sz w:val="24"/>
                <w:szCs w:val="24"/>
                <w:lang w:eastAsia="zh-CN"/>
              </w:rPr>
              <w:t>办学</w:t>
            </w:r>
            <w:r>
              <w:rPr>
                <w:rFonts w:hint="default" w:ascii="Times New Roman" w:hAnsi="Times New Roman" w:eastAsia="仿宋_GB2312" w:cs="Times New Roman"/>
                <w:bCs/>
                <w:kern w:val="0"/>
                <w:sz w:val="24"/>
                <w:szCs w:val="24"/>
              </w:rPr>
              <w:t>各项工作制度、工作标准和工作规范。制定应用化工技术专业建设指导委员会章程，组建专业建设指导委员会</w:t>
            </w:r>
            <w:r>
              <w:rPr>
                <w:rFonts w:hint="default" w:cs="Times New Roman"/>
                <w:bCs/>
                <w:kern w:val="0"/>
                <w:sz w:val="24"/>
                <w:szCs w:val="24"/>
              </w:rPr>
              <w:t>。专业建设委员会</w:t>
            </w:r>
            <w:r>
              <w:rPr>
                <w:rFonts w:hint="default" w:ascii="Times New Roman" w:hAnsi="Times New Roman" w:eastAsia="仿宋_GB2312" w:cs="Times New Roman"/>
                <w:bCs/>
                <w:kern w:val="0"/>
                <w:sz w:val="24"/>
                <w:szCs w:val="24"/>
              </w:rPr>
              <w:t>根据行业现状和发展趋势要求，对校企合作人才培养过程中存在的问题提出相关建议与意见，</w:t>
            </w:r>
            <w:r>
              <w:rPr>
                <w:rFonts w:hint="default" w:cs="Times New Roman"/>
                <w:bCs/>
                <w:kern w:val="0"/>
                <w:sz w:val="24"/>
                <w:szCs w:val="24"/>
              </w:rPr>
              <w:t>指导</w:t>
            </w:r>
            <w:r>
              <w:rPr>
                <w:rFonts w:hint="default" w:ascii="Times New Roman" w:hAnsi="Times New Roman" w:eastAsia="仿宋_GB2312" w:cs="Times New Roman"/>
                <w:bCs/>
                <w:kern w:val="0"/>
                <w:sz w:val="24"/>
                <w:szCs w:val="24"/>
              </w:rPr>
              <w:t>课程体系、教学内容、教学模式、顶岗实习、实训基地等方面建设工作，从而保障应用化工技术专业可持续发展。</w:t>
            </w:r>
          </w:p>
        </w:tc>
      </w:tr>
      <w:tr w14:paraId="065B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5"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75C8A85">
            <w:pPr>
              <w:snapToGrid w:val="0"/>
              <w:jc w:val="center"/>
              <w:textAlignment w:val="center"/>
              <w:rPr>
                <w:rFonts w:hint="default" w:ascii="Times New Roman" w:hAnsi="Times New Roman" w:cs="Times New Roman"/>
                <w:sz w:val="24"/>
                <w:szCs w:val="24"/>
              </w:rPr>
            </w:pPr>
            <w:bookmarkStart w:id="2" w:name="OLE_LINK10"/>
            <w:r>
              <w:rPr>
                <w:rFonts w:hint="default" w:ascii="Times New Roman" w:hAnsi="Times New Roman" w:cs="Times New Roman"/>
                <w:sz w:val="24"/>
                <w:szCs w:val="24"/>
              </w:rPr>
              <w:t>教师队伍</w:t>
            </w:r>
          </w:p>
          <w:p w14:paraId="5D13F801">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情况要点</w:t>
            </w:r>
          </w:p>
        </w:tc>
        <w:tc>
          <w:tcPr>
            <w:tcW w:w="8940" w:type="dxa"/>
            <w:gridSpan w:val="4"/>
            <w:tcBorders>
              <w:top w:val="single" w:color="auto" w:sz="4" w:space="0"/>
              <w:left w:val="nil"/>
              <w:bottom w:val="single" w:color="auto" w:sz="4" w:space="0"/>
              <w:right w:val="single" w:color="auto" w:sz="4" w:space="0"/>
            </w:tcBorders>
            <w:shd w:val="clear" w:color="auto" w:fill="auto"/>
          </w:tcPr>
          <w:p w14:paraId="169AF8B7">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1.师资力量雄厚，保障专业教学与人才培养质量</w:t>
            </w:r>
          </w:p>
          <w:p w14:paraId="30D04E30">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专业教学团队由校内专任教师和企业兼职教师共同组成，师资队伍结构合理。</w:t>
            </w:r>
            <w:r>
              <w:rPr>
                <w:rFonts w:hint="default" w:cs="Times New Roman"/>
                <w:bCs/>
                <w:kern w:val="0"/>
                <w:sz w:val="24"/>
                <w:szCs w:val="24"/>
              </w:rPr>
              <w:t>专业</w:t>
            </w:r>
            <w:r>
              <w:rPr>
                <w:rFonts w:hint="default" w:ascii="Times New Roman" w:hAnsi="Times New Roman" w:cs="Times New Roman"/>
                <w:bCs/>
                <w:kern w:val="0"/>
                <w:sz w:val="24"/>
                <w:szCs w:val="24"/>
                <w:highlight w:val="none"/>
              </w:rPr>
              <w:t>现有全日制在校生398人，在校教师3</w:t>
            </w:r>
            <w:r>
              <w:rPr>
                <w:rFonts w:hint="default" w:cs="Times New Roman"/>
                <w:bCs/>
                <w:kern w:val="0"/>
                <w:sz w:val="24"/>
                <w:szCs w:val="24"/>
                <w:highlight w:val="none"/>
              </w:rPr>
              <w:t>2</w:t>
            </w:r>
            <w:r>
              <w:rPr>
                <w:rFonts w:hint="default" w:ascii="Times New Roman" w:hAnsi="Times New Roman" w:cs="Times New Roman"/>
                <w:bCs/>
                <w:kern w:val="0"/>
                <w:sz w:val="24"/>
                <w:szCs w:val="24"/>
                <w:highlight w:val="none"/>
              </w:rPr>
              <w:t>人，专任教师与全日制在校生人数之比为1:13；</w:t>
            </w:r>
            <w:r>
              <w:rPr>
                <w:rFonts w:hint="default" w:ascii="Times New Roman" w:hAnsi="Times New Roman" w:cs="Times New Roman"/>
                <w:bCs/>
                <w:kern w:val="0"/>
                <w:sz w:val="24"/>
                <w:szCs w:val="24"/>
              </w:rPr>
              <w:t>有高级职称专任教师21人，</w:t>
            </w:r>
            <w:r>
              <w:rPr>
                <w:rFonts w:hint="default" w:cs="Times New Roman"/>
                <w:bCs/>
                <w:kern w:val="0"/>
                <w:sz w:val="24"/>
                <w:szCs w:val="24"/>
              </w:rPr>
              <w:t>占比</w:t>
            </w:r>
            <w:r>
              <w:rPr>
                <w:rFonts w:hint="default" w:ascii="Times New Roman" w:hAnsi="Times New Roman" w:cs="Times New Roman"/>
                <w:bCs/>
                <w:kern w:val="0"/>
                <w:sz w:val="24"/>
                <w:szCs w:val="24"/>
              </w:rPr>
              <w:t>65.63%；具有博士研究生学位专任教师25人，</w:t>
            </w:r>
            <w:r>
              <w:rPr>
                <w:rFonts w:hint="default" w:cs="Times New Roman"/>
                <w:bCs/>
                <w:kern w:val="0"/>
                <w:sz w:val="24"/>
                <w:szCs w:val="24"/>
              </w:rPr>
              <w:t>占比</w:t>
            </w:r>
            <w:r>
              <w:rPr>
                <w:rFonts w:hint="default" w:ascii="Times New Roman" w:hAnsi="Times New Roman" w:cs="Times New Roman"/>
                <w:bCs/>
                <w:kern w:val="0"/>
                <w:sz w:val="24"/>
                <w:szCs w:val="24"/>
              </w:rPr>
              <w:t>78.13%</w:t>
            </w:r>
            <w:r>
              <w:rPr>
                <w:rFonts w:hint="default" w:cs="Times New Roman"/>
                <w:bCs/>
                <w:kern w:val="0"/>
                <w:sz w:val="24"/>
                <w:szCs w:val="24"/>
              </w:rPr>
              <w:t>；</w:t>
            </w:r>
            <w:r>
              <w:rPr>
                <w:rFonts w:hint="default" w:ascii="Times New Roman" w:hAnsi="Times New Roman" w:cs="Times New Roman"/>
                <w:bCs/>
                <w:kern w:val="0"/>
                <w:sz w:val="24"/>
                <w:szCs w:val="24"/>
              </w:rPr>
              <w:t>“双师型”教师20人，</w:t>
            </w:r>
            <w:r>
              <w:rPr>
                <w:rFonts w:hint="default" w:cs="Times New Roman"/>
                <w:bCs/>
                <w:kern w:val="0"/>
                <w:sz w:val="24"/>
                <w:szCs w:val="24"/>
              </w:rPr>
              <w:t>占比</w:t>
            </w:r>
            <w:r>
              <w:rPr>
                <w:rFonts w:hint="default" w:ascii="Times New Roman" w:hAnsi="Times New Roman" w:cs="Times New Roman"/>
                <w:bCs/>
                <w:kern w:val="0"/>
                <w:sz w:val="24"/>
                <w:szCs w:val="24"/>
              </w:rPr>
              <w:t>62.50%。来自行业企业一线的兼职教师16人，所授课程总课时为</w:t>
            </w:r>
            <w:r>
              <w:rPr>
                <w:rFonts w:hint="default" w:cs="Times New Roman"/>
                <w:bCs/>
                <w:kern w:val="0"/>
                <w:sz w:val="24"/>
                <w:szCs w:val="24"/>
              </w:rPr>
              <w:t>320</w:t>
            </w:r>
            <w:r>
              <w:rPr>
                <w:rFonts w:hint="default" w:ascii="Times New Roman" w:hAnsi="Times New Roman" w:cs="Times New Roman"/>
                <w:bCs/>
                <w:kern w:val="0"/>
                <w:sz w:val="24"/>
                <w:szCs w:val="24"/>
              </w:rPr>
              <w:t>，所承担的专业课教学任务授课课时占专业课总课时的</w:t>
            </w:r>
            <w:r>
              <w:rPr>
                <w:rFonts w:hint="default" w:cs="Times New Roman"/>
                <w:bCs/>
                <w:kern w:val="0"/>
                <w:sz w:val="24"/>
                <w:szCs w:val="24"/>
              </w:rPr>
              <w:t>21.74</w:t>
            </w:r>
            <w:r>
              <w:rPr>
                <w:rFonts w:hint="default" w:ascii="Times New Roman" w:hAnsi="Times New Roman" w:cs="Times New Roman"/>
                <w:bCs/>
                <w:kern w:val="0"/>
                <w:sz w:val="24"/>
                <w:szCs w:val="24"/>
                <w:highlight w:val="none"/>
              </w:rPr>
              <w:t>%</w:t>
            </w:r>
            <w:r>
              <w:rPr>
                <w:rFonts w:hint="default" w:ascii="Times New Roman" w:hAnsi="Times New Roman" w:cs="Times New Roman"/>
                <w:bCs/>
                <w:kern w:val="0"/>
                <w:sz w:val="24"/>
                <w:szCs w:val="24"/>
              </w:rPr>
              <w:t>。专业现有浙江省高校中青年学科带头人2人，浙江省“新世纪151人才工程”4人，浙江省“青年科学家培养计划”培养人员2人，省级人才1人，衢州市拔尖人才1人，衢州市115人才培养人员10人，衢州市新115人才第三层次培养人员3人。师资储备充足，</w:t>
            </w:r>
            <w:r>
              <w:rPr>
                <w:rFonts w:hint="default" w:cs="Times New Roman"/>
                <w:bCs/>
                <w:kern w:val="0"/>
                <w:sz w:val="24"/>
                <w:szCs w:val="24"/>
              </w:rPr>
              <w:t>为人才高质量培养提供了师资保障</w:t>
            </w:r>
            <w:r>
              <w:rPr>
                <w:rFonts w:hint="default" w:ascii="Times New Roman" w:hAnsi="Times New Roman" w:cs="Times New Roman"/>
                <w:bCs/>
                <w:kern w:val="0"/>
                <w:sz w:val="24"/>
                <w:szCs w:val="24"/>
              </w:rPr>
              <w:t>。</w:t>
            </w:r>
          </w:p>
          <w:p w14:paraId="0E11D26F">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2. 依托氟硅新材料与产教融合平台，推动科技创新与产业发展</w:t>
            </w:r>
          </w:p>
          <w:p w14:paraId="2389AEBF">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lang w:eastAsia="zh-CN"/>
              </w:rPr>
              <w:t>学</w:t>
            </w:r>
            <w:r>
              <w:rPr>
                <w:rFonts w:hint="default" w:cs="Times New Roman"/>
                <w:bCs/>
                <w:kern w:val="0"/>
                <w:sz w:val="24"/>
                <w:szCs w:val="24"/>
                <w:lang w:eastAsia="zh-CN"/>
              </w:rPr>
              <w:t>院</w:t>
            </w:r>
            <w:r>
              <w:rPr>
                <w:rFonts w:hint="default" w:ascii="Times New Roman" w:hAnsi="Times New Roman" w:cs="Times New Roman"/>
                <w:bCs/>
                <w:kern w:val="0"/>
                <w:sz w:val="24"/>
                <w:szCs w:val="24"/>
              </w:rPr>
              <w:t>拥有氟硅新材料绿色制造浙江省工程研究中心</w:t>
            </w:r>
            <w:r>
              <w:rPr>
                <w:rFonts w:hint="default" w:cs="Times New Roman"/>
                <w:bCs/>
                <w:kern w:val="0"/>
                <w:sz w:val="24"/>
                <w:szCs w:val="24"/>
              </w:rPr>
              <w:t>和</w:t>
            </w:r>
            <w:r>
              <w:rPr>
                <w:rFonts w:hint="default" w:ascii="Times New Roman" w:hAnsi="Times New Roman" w:cs="Times New Roman"/>
                <w:bCs/>
                <w:kern w:val="0"/>
                <w:sz w:val="24"/>
                <w:szCs w:val="24"/>
              </w:rPr>
              <w:t>浙江省新药创制科技服务平台衢州工作站，</w:t>
            </w:r>
            <w:r>
              <w:rPr>
                <w:rFonts w:hint="default" w:cs="Times New Roman"/>
                <w:bCs/>
                <w:kern w:val="0"/>
                <w:sz w:val="24"/>
                <w:szCs w:val="24"/>
              </w:rPr>
              <w:t>是</w:t>
            </w:r>
            <w:r>
              <w:rPr>
                <w:rFonts w:hint="default" w:ascii="Times New Roman" w:hAnsi="Times New Roman" w:cs="Times New Roman"/>
                <w:bCs/>
                <w:kern w:val="0"/>
                <w:sz w:val="24"/>
                <w:szCs w:val="24"/>
              </w:rPr>
              <w:t>林纸功能新材料产业国家创新联盟</w:t>
            </w:r>
            <w:r>
              <w:rPr>
                <w:rFonts w:hint="default" w:cs="Times New Roman"/>
                <w:bCs/>
                <w:kern w:val="0"/>
                <w:sz w:val="24"/>
                <w:szCs w:val="24"/>
              </w:rPr>
              <w:t>单位、</w:t>
            </w:r>
            <w:r>
              <w:rPr>
                <w:rFonts w:hint="default" w:ascii="Times New Roman" w:hAnsi="Times New Roman" w:cs="Times New Roman"/>
                <w:bCs/>
                <w:kern w:val="0"/>
                <w:sz w:val="24"/>
                <w:szCs w:val="24"/>
              </w:rPr>
              <w:t>浙江省衢州氟硅新材料技术创新服务平台核心单位</w:t>
            </w:r>
            <w:r>
              <w:rPr>
                <w:rFonts w:hint="default" w:cs="Times New Roman"/>
                <w:bCs/>
                <w:kern w:val="0"/>
                <w:sz w:val="24"/>
                <w:szCs w:val="24"/>
              </w:rPr>
              <w:t>、</w:t>
            </w:r>
            <w:r>
              <w:rPr>
                <w:rFonts w:hint="default" w:ascii="Times New Roman" w:hAnsi="Times New Roman" w:cs="Times New Roman"/>
                <w:bCs/>
                <w:kern w:val="0"/>
                <w:sz w:val="24"/>
                <w:szCs w:val="24"/>
              </w:rPr>
              <w:t>浙江省电子化学材料产教融合人才培养基地</w:t>
            </w:r>
            <w:r>
              <w:rPr>
                <w:rFonts w:hint="default" w:cs="Times New Roman"/>
                <w:bCs/>
                <w:kern w:val="0"/>
                <w:sz w:val="24"/>
                <w:szCs w:val="24"/>
              </w:rPr>
              <w:t>；学院获得</w:t>
            </w:r>
            <w:r>
              <w:rPr>
                <w:rFonts w:hint="default" w:ascii="Times New Roman" w:hAnsi="Times New Roman" w:cs="Times New Roman"/>
                <w:bCs/>
                <w:kern w:val="0"/>
                <w:sz w:val="24"/>
                <w:szCs w:val="24"/>
              </w:rPr>
              <w:t>浙江省氟硅新材料绿色制造训研创基地产教融合工程项目立项，参与共建浙江省衢州氟硅钴新材料产业创新服务综合体、浙江省氟材料产业技术创新战略联盟、“氟硅精细化学品及材料制造”浙江省2011协同创新中心。拥有资源化工技术、化工研究所、氟硅新材料、分析测试中心、生态保护与污染控制等5个市级重点实验室。</w:t>
            </w:r>
          </w:p>
          <w:p w14:paraId="136A269B">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3. 教师科研成果丰硕，推动学科发展与创新应用</w:t>
            </w:r>
          </w:p>
          <w:p w14:paraId="36CBF4EF">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专业教师教科研项目成果显著，近5年立项纵向项目立项45项，国家自然科学基金立项7项，浙江省级项目立项23项；横向科技项目154项，</w:t>
            </w:r>
            <w:r>
              <w:rPr>
                <w:rFonts w:hint="default" w:ascii="Times New Roman" w:hAnsi="Times New Roman" w:cs="Times New Roman"/>
                <w:bCs/>
                <w:kern w:val="0"/>
                <w:sz w:val="24"/>
                <w:szCs w:val="24"/>
                <w:lang w:eastAsia="zh-CN"/>
              </w:rPr>
              <w:t>到款经费</w:t>
            </w:r>
            <w:r>
              <w:rPr>
                <w:rFonts w:hint="default" w:ascii="Times New Roman" w:hAnsi="Times New Roman" w:cs="Times New Roman"/>
                <w:bCs/>
                <w:kern w:val="0"/>
                <w:sz w:val="24"/>
                <w:szCs w:val="24"/>
              </w:rPr>
              <w:t>3010.62万元；教改项目47项，其中标志性成果包括省级一流课程3项，教学成果奖省级一等奖1项；申请获批专利48项，</w:t>
            </w:r>
            <w:r>
              <w:rPr>
                <w:rFonts w:hint="default" w:ascii="Times New Roman" w:hAnsi="Times New Roman" w:cs="Times New Roman"/>
                <w:bCs/>
                <w:kern w:val="0"/>
                <w:sz w:val="24"/>
                <w:szCs w:val="24"/>
                <w:lang w:eastAsia="zh-CN"/>
              </w:rPr>
              <w:t>其中</w:t>
            </w:r>
            <w:r>
              <w:rPr>
                <w:rFonts w:hint="default" w:ascii="Times New Roman" w:hAnsi="Times New Roman" w:cs="Times New Roman"/>
                <w:bCs/>
                <w:kern w:val="0"/>
                <w:sz w:val="24"/>
                <w:szCs w:val="24"/>
              </w:rPr>
              <w:t>发明专利40项、新型实用专利8项；发表学术论文151篇，</w:t>
            </w:r>
            <w:r>
              <w:rPr>
                <w:rFonts w:hint="default" w:ascii="Times New Roman" w:hAnsi="Times New Roman" w:cs="Times New Roman"/>
                <w:bCs/>
                <w:kern w:val="0"/>
                <w:sz w:val="24"/>
                <w:szCs w:val="24"/>
                <w:lang w:eastAsia="zh-CN"/>
              </w:rPr>
              <w:t>其中</w:t>
            </w:r>
            <w:r>
              <w:rPr>
                <w:rFonts w:hint="default" w:ascii="Times New Roman" w:hAnsi="Times New Roman" w:cs="Times New Roman"/>
                <w:bCs/>
                <w:kern w:val="0"/>
                <w:sz w:val="24"/>
                <w:szCs w:val="24"/>
              </w:rPr>
              <w:t>SCI中科院分区1区36篇、2区31篇、3区34篇、4区17篇。获浙江省科学技术奖1项，中国石油和化学工业联合会科学进步奖1项，中国商业联合会科学技术奖1项，浙江省农业农村厅技术进步奖1项，浙江省科技兴林奖1项。</w:t>
            </w:r>
          </w:p>
          <w:p w14:paraId="1B5675AD">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4. 学生竞赛成果显著，创新创业项目屡获殊荣</w:t>
            </w:r>
          </w:p>
          <w:p w14:paraId="736C4BC9">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近三年，学院学生获国家级、省级各类学科竞赛一、二等奖50多项；获国家级、省级创新创业项目和大学生科技创新活动项目立项资助200</w:t>
            </w:r>
            <w:r>
              <w:rPr>
                <w:rFonts w:hint="default" w:ascii="Times New Roman" w:hAnsi="Times New Roman" w:cs="Times New Roman"/>
                <w:bCs/>
                <w:kern w:val="0"/>
                <w:sz w:val="24"/>
                <w:szCs w:val="24"/>
                <w:lang w:eastAsia="zh-CN"/>
              </w:rPr>
              <w:t>余</w:t>
            </w:r>
            <w:r>
              <w:rPr>
                <w:rFonts w:hint="default" w:ascii="Times New Roman" w:hAnsi="Times New Roman" w:cs="Times New Roman"/>
                <w:bCs/>
                <w:kern w:val="0"/>
                <w:sz w:val="24"/>
                <w:szCs w:val="24"/>
              </w:rPr>
              <w:t>人次。化工类专业学生在专业教师的指导下参加省级以上各类竞赛及技能大赛，获得包括全国校技能大赛一等奖多项。</w:t>
            </w:r>
          </w:p>
          <w:p w14:paraId="566348F1">
            <w:pPr>
              <w:autoSpaceDE w:val="0"/>
              <w:snapToGrid w:val="0"/>
              <w:spacing w:line="360" w:lineRule="auto"/>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5. 专业负责人教科研管理经验丰富，为新专业申报和建设打下坚实的基础</w:t>
            </w:r>
          </w:p>
          <w:p w14:paraId="47188C9D">
            <w:pPr>
              <w:autoSpaceDE w:val="0"/>
              <w:snapToGrid w:val="0"/>
              <w:spacing w:line="360" w:lineRule="auto"/>
              <w:ind w:firstLine="482"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
                <w:bCs w:val="0"/>
                <w:kern w:val="0"/>
                <w:sz w:val="24"/>
                <w:szCs w:val="24"/>
              </w:rPr>
              <w:t>专业带头人郑启富</w:t>
            </w:r>
            <w:r>
              <w:rPr>
                <w:rFonts w:hint="default" w:ascii="Times New Roman" w:hAnsi="Times New Roman" w:cs="Times New Roman"/>
                <w:bCs/>
                <w:kern w:val="0"/>
                <w:sz w:val="24"/>
                <w:szCs w:val="24"/>
              </w:rPr>
              <w:t>，化学与材料工程学院化工系教授。浙江省专业带头人、省高等学校教坛新秀、中青年学科带头人、省“新世纪151人才工程”第三层次人才。主要从事化工系统工程、催化剂工程和教育教学改革等方面的研究。主持和承担“化学工程与工艺”省十三五优势特色专业建设、“化工过程与污染控制虚拟仿真实验教学中心”省实验教学示范中心重点建设项目，“舌尖上的化学品——食品添加剂”省首批精品在线开放课程、“成果导向的化工类专业‘一体化、三层次’的实践教学体系改革”省教学改革项目等。完成浙江省自然科学基金、科技厅科技攻关项目等市厅级以上科研项目7项，第一作者发表学术论文40余篇，其中三大收录论文14篇。指导完成浙江省大学生科技创新项目1项，获大学生化工设计学科竞赛省级以上奖项28</w:t>
            </w:r>
            <w:r>
              <w:rPr>
                <w:rFonts w:hint="default" w:ascii="Times New Roman" w:hAnsi="Times New Roman" w:cs="Times New Roman"/>
                <w:bCs/>
                <w:kern w:val="0"/>
                <w:sz w:val="24"/>
                <w:szCs w:val="24"/>
                <w:lang w:eastAsia="zh-CN"/>
              </w:rPr>
              <w:t>项</w:t>
            </w:r>
            <w:r>
              <w:rPr>
                <w:rFonts w:hint="default" w:ascii="Times New Roman" w:hAnsi="Times New Roman" w:cs="Times New Roman"/>
                <w:bCs/>
                <w:kern w:val="0"/>
                <w:sz w:val="24"/>
                <w:szCs w:val="24"/>
              </w:rPr>
              <w:t>，其中国家级一等奖3次。</w:t>
            </w:r>
          </w:p>
          <w:p w14:paraId="7B2D4FF9">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p>
        </w:tc>
      </w:tr>
      <w:bookmarkEnd w:id="2"/>
      <w:tr w14:paraId="070A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D77D0E4">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专业人才</w:t>
            </w:r>
          </w:p>
          <w:p w14:paraId="5868AE21">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培养方案要点</w:t>
            </w:r>
          </w:p>
        </w:tc>
        <w:tc>
          <w:tcPr>
            <w:tcW w:w="8940" w:type="dxa"/>
            <w:gridSpan w:val="4"/>
            <w:tcBorders>
              <w:top w:val="single" w:color="auto" w:sz="4" w:space="0"/>
              <w:left w:val="nil"/>
              <w:bottom w:val="single" w:color="auto" w:sz="4" w:space="0"/>
              <w:right w:val="single" w:color="auto" w:sz="4" w:space="0"/>
            </w:tcBorders>
            <w:shd w:val="clear" w:color="auto" w:fill="auto"/>
          </w:tcPr>
          <w:p w14:paraId="5D7B5E33">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浙江省石油和化学工业“十四五”发展规划》将化工新材料列入我省重点产业。专业面向衢州、嘉兴、宁波区域培养高素质应用型工程技术人才的培养目标，地方龙头企业巨化集团、华友钴业、中巨芯等共同参与，构建一套与毕业要求相适应的理论课程体系、实践教学体系</w:t>
            </w:r>
            <w:r>
              <w:rPr>
                <w:rFonts w:hint="default" w:cs="Times New Roman"/>
                <w:bCs/>
                <w:kern w:val="0"/>
                <w:sz w:val="24"/>
                <w:szCs w:val="24"/>
              </w:rPr>
              <w:t>和</w:t>
            </w:r>
            <w:r>
              <w:rPr>
                <w:rFonts w:hint="default" w:ascii="Times New Roman" w:hAnsi="Times New Roman" w:cs="Times New Roman"/>
                <w:bCs/>
                <w:kern w:val="0"/>
                <w:sz w:val="24"/>
                <w:szCs w:val="24"/>
              </w:rPr>
              <w:t>自主研学体系。开设《化工智能制造技术》、《湿法冶金》等</w:t>
            </w:r>
            <w:r>
              <w:rPr>
                <w:rFonts w:hint="default" w:cs="Times New Roman"/>
                <w:bCs/>
                <w:kern w:val="0"/>
                <w:sz w:val="24"/>
                <w:szCs w:val="24"/>
              </w:rPr>
              <w:t>特色</w:t>
            </w:r>
            <w:r>
              <w:rPr>
                <w:rFonts w:hint="default" w:ascii="Times New Roman" w:hAnsi="Times New Roman" w:cs="Times New Roman"/>
                <w:bCs/>
                <w:kern w:val="0"/>
                <w:sz w:val="24"/>
                <w:szCs w:val="24"/>
              </w:rPr>
              <w:t>课程，培养紧缺性应用化工技术人才。专业培养目标定位符合区域产业人才需求特点，为区域经济社会发展提供有力人才支撑。</w:t>
            </w:r>
          </w:p>
          <w:p w14:paraId="258D9A95">
            <w:pPr>
              <w:numPr>
                <w:ilvl w:val="0"/>
                <w:numId w:val="1"/>
              </w:numPr>
              <w:autoSpaceDE w:val="0"/>
              <w:snapToGrid w:val="0"/>
              <w:spacing w:line="360" w:lineRule="auto"/>
              <w:ind w:firstLine="482" w:firstLineChars="200"/>
              <w:jc w:val="left"/>
              <w:textAlignment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培养目标</w:t>
            </w:r>
          </w:p>
          <w:p w14:paraId="61343777">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专业适应区化工产业数智化转型升级需要，培养能够践行社会主义核心价值观，德智体美劳全面发展，具有良好的科学文化水平，良好的人文素养、科学素养、职业道德和精益求精的工匠精神，良好的国际视野，掌握较为系统的基础理论知识和技术技能，具备良好的技术研发、工艺设计、技术实践能力，能够从事科技成果、实验成果转化，胜任生产加工中高端产品、解决较复杂问题、进行较复杂操作，具有良好的创新创业能力，具有良好的就业能力和可持续发展能力，面向化学原料及化学制品制造行业的化工生产领域的化工生产班组长、化工工艺技术员、化工工艺工程师等职业，能够从事化工生产运行管理、工艺优化与技术开发、工程设计等工作的高层次创新型技术技能人才。</w:t>
            </w:r>
          </w:p>
          <w:p w14:paraId="40B51FED">
            <w:pPr>
              <w:autoSpaceDE w:val="0"/>
              <w:snapToGrid w:val="0"/>
              <w:spacing w:line="360" w:lineRule="auto"/>
              <w:ind w:firstLine="482" w:firstLineChars="200"/>
              <w:jc w:val="left"/>
              <w:textAlignment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2. 培养规格</w:t>
            </w:r>
          </w:p>
          <w:p w14:paraId="1020F837">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加强通识课和专业基础课，增强职业适应性。结合应用化工技术专业特点要求学生具备熟练的化工生产操作能力；具备工程实践能备能力，能够根据化工生产的要求，进行工艺流程设计，合理安排设备选型和车间布局</w:t>
            </w:r>
            <w:r>
              <w:rPr>
                <w:rFonts w:hint="default" w:ascii="Times New Roman" w:hAnsi="Times New Roman" w:cs="Times New Roman"/>
                <w:bCs/>
                <w:kern w:val="0"/>
                <w:sz w:val="24"/>
                <w:szCs w:val="24"/>
                <w:lang w:eastAsia="zh-CN"/>
              </w:rPr>
              <w:t>等</w:t>
            </w:r>
            <w:r>
              <w:rPr>
                <w:rFonts w:hint="default" w:ascii="Times New Roman" w:hAnsi="Times New Roman" w:cs="Times New Roman"/>
                <w:bCs/>
                <w:kern w:val="0"/>
                <w:sz w:val="24"/>
                <w:szCs w:val="24"/>
              </w:rPr>
              <w:t>化工工艺开发、现有工艺改进及优化能力</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会使用专业设计软件绘制工艺流程图、设备布置图、管道安装图等工程图纸</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具备化工设备维护与故障诊断的能力，具备技术创新能力，能够结合实际生产需求提出创新性的想法和解决方案；具备产品研发能力，参与化工新产品的研发工作，使学生具备对本专业科技成果、实验成果进行转化的能力。</w:t>
            </w:r>
          </w:p>
          <w:p w14:paraId="6E7016E2">
            <w:pPr>
              <w:autoSpaceDE w:val="0"/>
              <w:snapToGrid w:val="0"/>
              <w:spacing w:line="360" w:lineRule="auto"/>
              <w:ind w:firstLine="482" w:firstLineChars="200"/>
              <w:jc w:val="left"/>
              <w:textAlignment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3. 课程设置</w:t>
            </w:r>
          </w:p>
          <w:p w14:paraId="2F1F618B">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bookmarkStart w:id="3" w:name="OLE_LINK3"/>
            <w:r>
              <w:rPr>
                <w:rFonts w:hint="default" w:ascii="Times New Roman" w:hAnsi="Times New Roman" w:cs="Times New Roman"/>
                <w:bCs/>
                <w:kern w:val="0"/>
                <w:sz w:val="24"/>
                <w:szCs w:val="24"/>
              </w:rPr>
              <w:t>专业开设主要课程有《化工原理》《化工热力学》《化工仪表与自动化》《化学反应工程》等。总计2150学时，其中1038理论学时，1112实践学时，实践教学课时占总课时</w:t>
            </w:r>
            <w:r>
              <w:rPr>
                <w:rFonts w:hint="default" w:ascii="Times New Roman" w:hAnsi="Times New Roman" w:cs="Times New Roman"/>
                <w:bCs/>
                <w:kern w:val="0"/>
                <w:sz w:val="24"/>
                <w:szCs w:val="24"/>
                <w:lang w:eastAsia="zh-CN"/>
              </w:rPr>
              <w:t>的</w:t>
            </w:r>
            <w:r>
              <w:rPr>
                <w:rFonts w:hint="default" w:ascii="Times New Roman" w:hAnsi="Times New Roman" w:cs="Times New Roman"/>
                <w:bCs/>
                <w:kern w:val="0"/>
                <w:sz w:val="24"/>
                <w:szCs w:val="24"/>
              </w:rPr>
              <w:t>51.72%。</w:t>
            </w:r>
          </w:p>
          <w:bookmarkEnd w:id="3"/>
          <w:p w14:paraId="42ED5076">
            <w:pPr>
              <w:autoSpaceDE w:val="0"/>
              <w:snapToGrid w:val="0"/>
              <w:spacing w:line="360" w:lineRule="auto"/>
              <w:ind w:firstLine="480" w:firstLineChars="200"/>
              <w:jc w:val="left"/>
              <w:textAlignment w:val="center"/>
              <w:rPr>
                <w:rFonts w:hint="default" w:ascii="Times New Roman" w:hAnsi="Times New Roman" w:cs="Times New Roman"/>
                <w:sz w:val="24"/>
                <w:szCs w:val="24"/>
              </w:rPr>
            </w:pPr>
          </w:p>
        </w:tc>
      </w:tr>
      <w:tr w14:paraId="09F7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3"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148D496">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专业人才</w:t>
            </w:r>
          </w:p>
          <w:p w14:paraId="5B1286B4">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培养方案要点</w:t>
            </w:r>
          </w:p>
        </w:tc>
        <w:tc>
          <w:tcPr>
            <w:tcW w:w="8940" w:type="dxa"/>
            <w:gridSpan w:val="4"/>
            <w:tcBorders>
              <w:top w:val="single" w:color="auto" w:sz="4" w:space="0"/>
              <w:left w:val="nil"/>
              <w:bottom w:val="single" w:color="auto" w:sz="4" w:space="0"/>
              <w:right w:val="single" w:color="auto" w:sz="4" w:space="0"/>
            </w:tcBorders>
            <w:shd w:val="clear" w:color="auto" w:fill="auto"/>
          </w:tcPr>
          <w:p w14:paraId="6B4E0FBA">
            <w:pPr>
              <w:autoSpaceDE w:val="0"/>
              <w:snapToGrid w:val="0"/>
              <w:spacing w:line="360" w:lineRule="auto"/>
              <w:ind w:firstLine="482" w:firstLineChars="200"/>
              <w:jc w:val="left"/>
              <w:textAlignment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4. 毕业要求</w:t>
            </w:r>
          </w:p>
          <w:p w14:paraId="58AD7134">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（1）学分要求</w:t>
            </w:r>
          </w:p>
          <w:p w14:paraId="5C72FA15">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专业学生毕业时，除了要达到培养规格中知识、能力和素质要求外，还须修满</w:t>
            </w:r>
            <w:r>
              <w:rPr>
                <w:rFonts w:hint="default" w:ascii="Times New Roman" w:hAnsi="Times New Roman" w:cs="Times New Roman"/>
                <w:bCs/>
                <w:kern w:val="0"/>
                <w:sz w:val="24"/>
                <w:szCs w:val="24"/>
                <w:lang w:eastAsia="zh-CN"/>
              </w:rPr>
              <w:t>规定的</w:t>
            </w:r>
            <w:r>
              <w:rPr>
                <w:rFonts w:hint="default" w:ascii="Times New Roman" w:hAnsi="Times New Roman" w:cs="Times New Roman"/>
                <w:bCs/>
                <w:kern w:val="0"/>
                <w:sz w:val="24"/>
                <w:szCs w:val="24"/>
              </w:rPr>
              <w:t>各课程模块</w:t>
            </w:r>
            <w:r>
              <w:rPr>
                <w:rFonts w:hint="default" w:ascii="Times New Roman" w:hAnsi="Times New Roman" w:cs="Times New Roman"/>
                <w:bCs/>
                <w:kern w:val="0"/>
                <w:sz w:val="24"/>
                <w:szCs w:val="24"/>
                <w:lang w:eastAsia="zh-CN"/>
              </w:rPr>
              <w:t>（</w:t>
            </w:r>
            <w:r>
              <w:rPr>
                <w:rFonts w:hint="default" w:cs="Times New Roman"/>
                <w:bCs/>
                <w:kern w:val="0"/>
                <w:sz w:val="24"/>
                <w:szCs w:val="24"/>
                <w:lang w:eastAsia="zh-CN"/>
              </w:rPr>
              <w:t>80</w:t>
            </w:r>
            <w:r>
              <w:rPr>
                <w:rFonts w:hint="default" w:ascii="Times New Roman" w:hAnsi="Times New Roman" w:cs="Times New Roman"/>
                <w:bCs/>
                <w:kern w:val="0"/>
                <w:sz w:val="24"/>
                <w:szCs w:val="24"/>
              </w:rPr>
              <w:t>学分</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且德育、体测全部合格后方准毕业。</w:t>
            </w:r>
          </w:p>
          <w:p w14:paraId="5A44BE52">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（2）证书要求</w:t>
            </w:r>
          </w:p>
          <w:p w14:paraId="5882E081">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应至少取得1项本专业相关职业技能等级证书。</w:t>
            </w:r>
          </w:p>
          <w:p w14:paraId="219BD27C">
            <w:pPr>
              <w:autoSpaceDE w:val="0"/>
              <w:snapToGrid w:val="0"/>
              <w:spacing w:line="360" w:lineRule="auto"/>
              <w:ind w:firstLine="482" w:firstLineChars="200"/>
              <w:jc w:val="left"/>
              <w:textAlignment w:val="center"/>
              <w:rPr>
                <w:rFonts w:hint="default" w:ascii="Times New Roman" w:hAnsi="Times New Roman" w:cs="Times New Roman"/>
                <w:color w:val="000000"/>
                <w:sz w:val="24"/>
                <w:szCs w:val="24"/>
              </w:rPr>
            </w:pPr>
            <w:r>
              <w:rPr>
                <w:rFonts w:hint="default" w:ascii="Times New Roman" w:hAnsi="Times New Roman" w:cs="Times New Roman"/>
                <w:b/>
                <w:kern w:val="0"/>
                <w:sz w:val="24"/>
                <w:szCs w:val="24"/>
              </w:rPr>
              <w:t>具体详见附件《应用化工技术专业人才培养方案》。</w:t>
            </w:r>
          </w:p>
        </w:tc>
      </w:tr>
      <w:tr w14:paraId="4696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6"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4BEC00C">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办学条件概要</w:t>
            </w:r>
          </w:p>
        </w:tc>
        <w:tc>
          <w:tcPr>
            <w:tcW w:w="8940" w:type="dxa"/>
            <w:gridSpan w:val="4"/>
            <w:tcBorders>
              <w:top w:val="single" w:color="auto" w:sz="4" w:space="0"/>
              <w:left w:val="nil"/>
              <w:bottom w:val="single" w:color="auto" w:sz="4" w:space="0"/>
              <w:right w:val="single" w:color="auto" w:sz="4" w:space="0"/>
            </w:tcBorders>
            <w:shd w:val="clear" w:color="auto" w:fill="auto"/>
          </w:tcPr>
          <w:p w14:paraId="378282BE">
            <w:pPr>
              <w:autoSpaceDE w:val="0"/>
              <w:snapToGrid w:val="0"/>
              <w:spacing w:line="360" w:lineRule="auto"/>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专业化学实验教学中心现设有基础化学实验室、化学工程与工艺专业实验室、高分子材料与工程专业实验室、环境工程专业实验室、化学分测试中心、化工研究所、DCS控制实践中心等实验室，建筑面积6500余平方米（建筑面积），教学科研仪器设备总值6393.14万元。这些设施可以为学生开展教学实验、实习实训、毕业设计、课外科技创新活动、教师科研以及对外培训提供充足的实验实训条件。</w:t>
            </w:r>
          </w:p>
          <w:p w14:paraId="243649F5">
            <w:pPr>
              <w:autoSpaceDE w:val="0"/>
              <w:snapToGrid w:val="0"/>
              <w:spacing w:line="360" w:lineRule="auto"/>
              <w:ind w:firstLine="480" w:firstLineChars="200"/>
              <w:jc w:val="left"/>
              <w:textAlignment w:val="center"/>
              <w:rPr>
                <w:rFonts w:hint="default" w:ascii="Times New Roman" w:hAnsi="Times New Roman" w:cs="Times New Roman"/>
                <w:sz w:val="24"/>
                <w:szCs w:val="24"/>
              </w:rPr>
            </w:pPr>
            <w:r>
              <w:rPr>
                <w:rFonts w:hint="default" w:ascii="Times New Roman" w:hAnsi="Times New Roman" w:cs="Times New Roman"/>
                <w:bCs/>
                <w:kern w:val="0"/>
                <w:sz w:val="24"/>
                <w:szCs w:val="24"/>
              </w:rPr>
              <w:t>专业建设经费来源稳定，能够持续使用，并且每年都在增长。经费主要用于购买和更新教学科研仪器设备，以及支持各类专业建设项目。专业生均教学科研仪器设备值超16万元。与政府、行业、企业构建协同育人模式，实现人才培养供给侧和产业需求侧要素融合，与20余家企业建立校政企一体化育人模式，打造出一方集实践教学、科技研发、生产实习、培训服务等多位一体的校外教育教学基地，已建成27家较稳定的校外实习基地。先后与地方企业建有30多个博士工作站（其中13家为国家高新技术企业），与巨化集团等上市公司设有“氟硅新材料联合研发中心”、“专用化学品联合实验室”、“高分子功能材料联合研发中心”等5个产学研联合研发中心和3个企业研究院，取得显著的经济效益、社会效益。此外，实验中心积极协同创办科技型企业及创新站，最大限度地发挥这些企业和创新站在学生工程能力培养中的独特作用。结合区域经济发展重点，推进衢州市标志性产业链以及地方特色产业的经济转型升级，通过建设稳定的实训基地，并提供足够的数量和种类的实训设备，以保证学生的实习实训需求得到满足。</w:t>
            </w:r>
          </w:p>
        </w:tc>
      </w:tr>
      <w:tr w14:paraId="6251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80AD5F9">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技术研发与社会服务基础概要</w:t>
            </w:r>
          </w:p>
        </w:tc>
        <w:tc>
          <w:tcPr>
            <w:tcW w:w="8940" w:type="dxa"/>
            <w:gridSpan w:val="4"/>
            <w:tcBorders>
              <w:top w:val="single" w:color="auto" w:sz="4" w:space="0"/>
              <w:left w:val="nil"/>
              <w:bottom w:val="single" w:color="auto" w:sz="4" w:space="0"/>
              <w:right w:val="single" w:color="auto" w:sz="4" w:space="0"/>
            </w:tcBorders>
            <w:shd w:val="clear" w:color="auto" w:fill="auto"/>
          </w:tcPr>
          <w:p w14:paraId="3527A6B3">
            <w:pPr>
              <w:autoSpaceDE w:val="0"/>
              <w:snapToGrid w:val="0"/>
              <w:ind w:firstLine="482" w:firstLineChars="200"/>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 依托省级一流学科，建设创新服务平台</w:t>
            </w:r>
          </w:p>
          <w:p w14:paraId="36D2F8EE">
            <w:pPr>
              <w:pStyle w:val="34"/>
              <w:autoSpaceDE w:val="0"/>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专业依托浙江省高校一流学科化学工程与技术和浙江省一流专业化学工程与工艺而建，化学工程与工艺专业为浙江省“十二五”、“十三五”新兴特色专业、浙江省一流专业，2022年通过国际工程教育专业认证，是学校首个通过“工程教育专业认证”的专业，具有扎实的专业基础，具备完善的运行机制。</w:t>
            </w:r>
            <w:r>
              <w:rPr>
                <w:rFonts w:hint="default" w:cs="Times New Roman"/>
                <w:bCs/>
                <w:kern w:val="0"/>
                <w:sz w:val="24"/>
                <w:szCs w:val="24"/>
                <w:highlight w:val="none"/>
              </w:rPr>
              <w:t>2</w:t>
            </w:r>
            <w:r>
              <w:rPr>
                <w:rFonts w:hint="eastAsia"/>
                <w:bCs/>
                <w:kern w:val="0"/>
                <w:sz w:val="24"/>
                <w:szCs w:val="24"/>
                <w:highlight w:val="none"/>
              </w:rPr>
              <w:t>024年，衢州学院获批硕士学位授予单位及材料与化工硕士学位授权点。</w:t>
            </w:r>
            <w:r>
              <w:rPr>
                <w:rFonts w:hint="default" w:ascii="Times New Roman" w:hAnsi="Times New Roman" w:cs="Times New Roman"/>
                <w:bCs/>
                <w:kern w:val="0"/>
                <w:sz w:val="24"/>
                <w:szCs w:val="24"/>
              </w:rPr>
              <w:t>化学与材料工程学院在浙江省氟硅钴新材料绿色制造训研创基地建设基础上建设“氟硅新材料绿色制造浙江省工程研究中心”，并于2020年由浙江省发展与改革委员会批准挂牌，承担了一批国家、省部级科研项目，解决了一大批地方产业技术难题。联合共建“氟硅绿色制造浙江省工程研究中心”、“浙江省衢州氟硅新材料技术创新服务平台”、“浙江氟硅技术研究院”、“浙江省氟材料产业技术创新战略联盟”四个省级平台；响应国家加快发展新质生产力号召，以科技创新、人才支撑、政策支持为核心要素，助力新质生产力发展，带动产业结构与产业形态的持续升级。</w:t>
            </w:r>
          </w:p>
          <w:p w14:paraId="7DD42A63">
            <w:pPr>
              <w:autoSpaceDE w:val="0"/>
              <w:snapToGrid w:val="0"/>
              <w:ind w:firstLine="482" w:firstLineChars="200"/>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2. 服务区域经济发展，助力地方产业升级</w:t>
            </w:r>
          </w:p>
          <w:p w14:paraId="303C0ACA">
            <w:pPr>
              <w:pStyle w:val="34"/>
              <w:autoSpaceDE w:val="0"/>
              <w:ind w:firstLine="480" w:firstLineChars="200"/>
              <w:jc w:val="left"/>
              <w:textAlignment w:val="center"/>
              <w:rPr>
                <w:rFonts w:hint="default" w:ascii="Times New Roman" w:hAnsi="Times New Roman" w:cs="Times New Roman"/>
                <w:sz w:val="24"/>
                <w:szCs w:val="24"/>
              </w:rPr>
            </w:pPr>
            <w:bookmarkStart w:id="4" w:name="_Hlk184305356"/>
            <w:r>
              <w:rPr>
                <w:rFonts w:hint="default" w:ascii="Times New Roman" w:hAnsi="Times New Roman" w:cs="Times New Roman"/>
                <w:bCs/>
                <w:kern w:val="0"/>
                <w:sz w:val="24"/>
                <w:szCs w:val="24"/>
              </w:rPr>
              <w:t>先后与地方企业建有30多个博士工作站，与巨化集团等上市公司设有“氟硅新材料联合研发中”、“专用化学品联合实验室”等5个产学研联合研发中心，取得经济效益、社会效益显著。</w:t>
            </w:r>
            <w:bookmarkEnd w:id="4"/>
            <w:r>
              <w:rPr>
                <w:rFonts w:hint="default" w:ascii="Times New Roman" w:hAnsi="Times New Roman" w:cs="Times New Roman"/>
                <w:bCs/>
                <w:color w:val="000000" w:themeColor="text1"/>
                <w:kern w:val="0"/>
                <w:sz w:val="24"/>
                <w:szCs w:val="24"/>
                <w14:textFill>
                  <w14:solidFill>
                    <w14:schemeClr w14:val="tx1"/>
                  </w14:solidFill>
                </w14:textFill>
              </w:rPr>
              <w:t>近五年</w:t>
            </w:r>
            <w:r>
              <w:rPr>
                <w:rFonts w:hint="default" w:ascii="Times New Roman" w:hAnsi="Times New Roman" w:cs="Times New Roman"/>
                <w:bCs/>
                <w:color w:val="000000" w:themeColor="text1"/>
                <w:kern w:val="0"/>
                <w:sz w:val="24"/>
                <w:szCs w:val="24"/>
                <w:lang w:eastAsia="zh-CN"/>
                <w14:textFill>
                  <w14:solidFill>
                    <w14:schemeClr w14:val="tx1"/>
                  </w14:solidFill>
                </w14:textFill>
              </w:rPr>
              <w:t>，</w:t>
            </w:r>
            <w:r>
              <w:rPr>
                <w:rFonts w:hint="default" w:ascii="Times New Roman" w:hAnsi="Times New Roman" w:cs="Times New Roman"/>
                <w:bCs/>
                <w:color w:val="000000" w:themeColor="text1"/>
                <w:kern w:val="0"/>
                <w:sz w:val="24"/>
                <w:szCs w:val="24"/>
                <w14:textFill>
                  <w14:solidFill>
                    <w14:schemeClr w14:val="tx1"/>
                  </w14:solidFill>
                </w14:textFill>
              </w:rPr>
              <w:t>专业</w:t>
            </w:r>
            <w:r>
              <w:rPr>
                <w:rFonts w:hint="default" w:ascii="Times New Roman" w:hAnsi="Times New Roman" w:cs="Times New Roman"/>
                <w:bCs/>
                <w:color w:val="000000" w:themeColor="text1"/>
                <w:kern w:val="0"/>
                <w:sz w:val="24"/>
                <w:szCs w:val="24"/>
                <w:lang w:eastAsia="zh-CN"/>
                <w14:textFill>
                  <w14:solidFill>
                    <w14:schemeClr w14:val="tx1"/>
                  </w14:solidFill>
                </w14:textFill>
              </w:rPr>
              <w:t>教师团队</w:t>
            </w:r>
            <w:r>
              <w:rPr>
                <w:rFonts w:hint="default" w:ascii="Times New Roman" w:hAnsi="Times New Roman" w:cs="Times New Roman"/>
                <w:bCs/>
                <w:color w:val="000000" w:themeColor="text1"/>
                <w:kern w:val="0"/>
                <w:sz w:val="24"/>
                <w:szCs w:val="24"/>
                <w14:textFill>
                  <w14:solidFill>
                    <w14:schemeClr w14:val="tx1"/>
                  </w14:solidFill>
                </w14:textFill>
              </w:rPr>
              <w:t>承担横纵项课题共计190余项，合同金额总计6373.56万元，横纵项课题累计到账经费3654.72万元，其中纵向经费到账644.1万元，横向经费到账3010.62万元。横向项目经费中技术服务类到账63.50万元，技术咨询类到账128.43万元，技术转让类到账180.41万元，技术开发类到账2585.29万元，其他类到账53万元。国家课题7项，省部级课题23项，各类企事业单位委托横向项目总计150余项，累计服务企业100多家。</w:t>
            </w:r>
          </w:p>
        </w:tc>
      </w:tr>
      <w:tr w14:paraId="3BF7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9"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F0F3382">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技术研发与社会服务基础概要</w:t>
            </w:r>
          </w:p>
        </w:tc>
        <w:tc>
          <w:tcPr>
            <w:tcW w:w="8940" w:type="dxa"/>
            <w:gridSpan w:val="4"/>
            <w:tcBorders>
              <w:top w:val="single" w:color="auto" w:sz="4" w:space="0"/>
              <w:left w:val="nil"/>
              <w:bottom w:val="single" w:color="auto" w:sz="4" w:space="0"/>
              <w:right w:val="single" w:color="auto" w:sz="4" w:space="0"/>
            </w:tcBorders>
            <w:shd w:val="clear" w:color="auto" w:fill="auto"/>
          </w:tcPr>
          <w:p w14:paraId="670DE958">
            <w:pPr>
              <w:pStyle w:val="34"/>
              <w:autoSpaceDE w:val="0"/>
              <w:ind w:firstLine="480" w:firstLineChars="200"/>
              <w:jc w:val="left"/>
              <w:textAlignment w:val="center"/>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近几年获得科研成果奖多项，其中《特种有机硅清洁生产过程资源集约利用技术创新及产业化》获浙江省科学技术进步奖，成果水平国际先进，该项目针对乙烯基三氯硅烷生产反应热转移难问题</w:t>
            </w:r>
            <w:r>
              <w:rPr>
                <w:rFonts w:hint="default" w:ascii="Times New Roman" w:hAnsi="Times New Roman" w:cs="Times New Roman"/>
                <w:bCs/>
                <w:color w:val="000000" w:themeColor="text1"/>
                <w:kern w:val="0"/>
                <w:sz w:val="24"/>
                <w:szCs w:val="24"/>
                <w:lang w:eastAsia="zh-CN"/>
                <w14:textFill>
                  <w14:solidFill>
                    <w14:schemeClr w14:val="tx1"/>
                  </w14:solidFill>
                </w14:textFill>
              </w:rPr>
              <w:t>，</w:t>
            </w:r>
            <w:r>
              <w:rPr>
                <w:rFonts w:hint="default" w:ascii="Times New Roman" w:hAnsi="Times New Roman" w:cs="Times New Roman"/>
                <w:bCs/>
                <w:color w:val="000000" w:themeColor="text1"/>
                <w:kern w:val="0"/>
                <w:sz w:val="24"/>
                <w:szCs w:val="24"/>
                <w14:textFill>
                  <w14:solidFill>
                    <w14:schemeClr w14:val="tx1"/>
                  </w14:solidFill>
                </w14:textFill>
              </w:rPr>
              <w:t>开发了塔式低压连续流动床</w:t>
            </w:r>
            <w:r>
              <w:rPr>
                <w:rFonts w:hint="default" w:ascii="Times New Roman" w:hAnsi="Times New Roman" w:cs="Times New Roman"/>
                <w:bCs/>
                <w:color w:val="000000" w:themeColor="text1"/>
                <w:kern w:val="0"/>
                <w:sz w:val="24"/>
                <w:szCs w:val="24"/>
                <w:lang w:eastAsia="zh-CN"/>
                <w14:textFill>
                  <w14:solidFill>
                    <w14:schemeClr w14:val="tx1"/>
                  </w14:solidFill>
                </w14:textFill>
              </w:rPr>
              <w:t>，</w:t>
            </w:r>
            <w:r>
              <w:rPr>
                <w:rFonts w:hint="default" w:ascii="Times New Roman" w:hAnsi="Times New Roman" w:cs="Times New Roman"/>
                <w:bCs/>
                <w:color w:val="000000" w:themeColor="text1"/>
                <w:kern w:val="0"/>
                <w:sz w:val="24"/>
                <w:szCs w:val="24"/>
                <w14:textFill>
                  <w14:solidFill>
                    <w14:schemeClr w14:val="tx1"/>
                  </w14:solidFill>
                </w14:textFill>
              </w:rPr>
              <w:t>创新采用外循环冷却工艺控制反应温度</w:t>
            </w:r>
            <w:r>
              <w:rPr>
                <w:rFonts w:hint="default" w:ascii="Times New Roman" w:hAnsi="Times New Roman" w:cs="Times New Roman"/>
                <w:bCs/>
                <w:color w:val="000000" w:themeColor="text1"/>
                <w:kern w:val="0"/>
                <w:sz w:val="24"/>
                <w:szCs w:val="24"/>
                <w:lang w:eastAsia="zh-CN"/>
                <w14:textFill>
                  <w14:solidFill>
                    <w14:schemeClr w14:val="tx1"/>
                  </w14:solidFill>
                </w14:textFill>
              </w:rPr>
              <w:t>，</w:t>
            </w:r>
            <w:r>
              <w:rPr>
                <w:rFonts w:hint="default" w:ascii="Times New Roman" w:hAnsi="Times New Roman" w:cs="Times New Roman"/>
                <w:bCs/>
                <w:color w:val="000000" w:themeColor="text1"/>
                <w:kern w:val="0"/>
                <w:sz w:val="24"/>
                <w:szCs w:val="24"/>
                <w14:textFill>
                  <w14:solidFill>
                    <w14:schemeClr w14:val="tx1"/>
                  </w14:solidFill>
                </w14:textFill>
              </w:rPr>
              <w:t>实现产能的大幅度提升</w:t>
            </w:r>
            <w:r>
              <w:rPr>
                <w:rFonts w:hint="default" w:ascii="Times New Roman" w:hAnsi="Times New Roman" w:cs="Times New Roman"/>
                <w:bCs/>
                <w:color w:val="000000" w:themeColor="text1"/>
                <w:kern w:val="0"/>
                <w:sz w:val="24"/>
                <w:szCs w:val="24"/>
                <w:lang w:eastAsia="zh-CN"/>
                <w14:textFill>
                  <w14:solidFill>
                    <w14:schemeClr w14:val="tx1"/>
                  </w14:solidFill>
                </w14:textFill>
              </w:rPr>
              <w:t>，</w:t>
            </w:r>
            <w:r>
              <w:rPr>
                <w:rFonts w:hint="default" w:ascii="Times New Roman" w:hAnsi="Times New Roman" w:cs="Times New Roman"/>
                <w:bCs/>
                <w:color w:val="000000" w:themeColor="text1"/>
                <w:kern w:val="0"/>
                <w:sz w:val="24"/>
                <w:szCs w:val="24"/>
                <w14:textFill>
                  <w14:solidFill>
                    <w14:schemeClr w14:val="tx1"/>
                  </w14:solidFill>
                </w14:textFill>
              </w:rPr>
              <w:t>产能可提升1.5倍；《有机硅单体清洁生产关键技术集成及产业化》项目获中国石油和化学工业联合会科学进步奖，《苯并三氮唑</w:t>
            </w:r>
            <w:r>
              <w:rPr>
                <w:rFonts w:hint="default" w:ascii="Times New Roman" w:hAnsi="Times New Roman" w:cs="Times New Roman"/>
                <w:bCs/>
                <w:kern w:val="0"/>
                <w:sz w:val="24"/>
                <w:szCs w:val="24"/>
              </w:rPr>
              <w:t>紫外线</w:t>
            </w:r>
            <w:r>
              <w:rPr>
                <w:rFonts w:hint="default" w:ascii="Times New Roman" w:hAnsi="Times New Roman" w:cs="Times New Roman"/>
                <w:bCs/>
                <w:color w:val="000000" w:themeColor="text1"/>
                <w:kern w:val="0"/>
                <w:sz w:val="24"/>
                <w:szCs w:val="24"/>
                <w14:textFill>
                  <w14:solidFill>
                    <w14:schemeClr w14:val="tx1"/>
                  </w14:solidFill>
                </w14:textFill>
              </w:rPr>
              <w:t>吸收剂绿色合成关键技术及应用》项目获中国商业联合会科学技术奖。</w:t>
            </w:r>
            <w:r>
              <w:rPr>
                <w:rFonts w:hint="default" w:ascii="Times New Roman" w:hAnsi="Times New Roman" w:cs="Times New Roman"/>
                <w:bCs/>
                <w:color w:val="000000" w:themeColor="text1"/>
                <w:kern w:val="0"/>
                <w:sz w:val="24"/>
                <w:szCs w:val="24"/>
                <w:lang w:eastAsia="zh-CN"/>
                <w14:textFill>
                  <w14:solidFill>
                    <w14:schemeClr w14:val="tx1"/>
                  </w14:solidFill>
                </w14:textFill>
              </w:rPr>
              <w:t>近</w:t>
            </w:r>
            <w:r>
              <w:rPr>
                <w:rFonts w:hint="default" w:ascii="Times New Roman" w:hAnsi="Times New Roman" w:cs="Times New Roman"/>
                <w:bCs/>
                <w:color w:val="000000" w:themeColor="text1"/>
                <w:kern w:val="0"/>
                <w:sz w:val="24"/>
                <w:szCs w:val="24"/>
                <w14:textFill>
                  <w14:solidFill>
                    <w14:schemeClr w14:val="tx1"/>
                  </w14:solidFill>
                </w14:textFill>
              </w:rPr>
              <w:t>五年</w:t>
            </w:r>
            <w:r>
              <w:rPr>
                <w:rFonts w:hint="default" w:ascii="Times New Roman" w:hAnsi="Times New Roman" w:cs="Times New Roman"/>
                <w:bCs/>
                <w:color w:val="000000" w:themeColor="text1"/>
                <w:kern w:val="0"/>
                <w:sz w:val="24"/>
                <w:szCs w:val="24"/>
                <w:lang w:eastAsia="zh-CN"/>
                <w14:textFill>
                  <w14:solidFill>
                    <w14:schemeClr w14:val="tx1"/>
                  </w14:solidFill>
                </w14:textFill>
              </w:rPr>
              <w:t>，</w:t>
            </w:r>
            <w:r>
              <w:rPr>
                <w:rFonts w:hint="default" w:ascii="Times New Roman" w:hAnsi="Times New Roman" w:cs="Times New Roman"/>
                <w:bCs/>
                <w:color w:val="000000" w:themeColor="text1"/>
                <w:kern w:val="0"/>
                <w:sz w:val="24"/>
                <w:szCs w:val="24"/>
                <w14:textFill>
                  <w14:solidFill>
                    <w14:schemeClr w14:val="tx1"/>
                  </w14:solidFill>
                </w14:textFill>
              </w:rPr>
              <w:t>服务地方经济发展，助立地方产业升级</w:t>
            </w:r>
            <w:r>
              <w:rPr>
                <w:rFonts w:hint="default" w:ascii="Times New Roman" w:hAnsi="Times New Roman" w:cs="Times New Roman"/>
                <w:bCs/>
                <w:color w:val="000000" w:themeColor="text1"/>
                <w:kern w:val="0"/>
                <w:sz w:val="24"/>
                <w:szCs w:val="24"/>
                <w:lang w:eastAsia="zh-CN"/>
                <w14:textFill>
                  <w14:solidFill>
                    <w14:schemeClr w14:val="tx1"/>
                  </w14:solidFill>
                </w14:textFill>
              </w:rPr>
              <w:t>，授权</w:t>
            </w:r>
            <w:r>
              <w:rPr>
                <w:rFonts w:hint="default" w:ascii="Times New Roman" w:hAnsi="Times New Roman" w:cs="Times New Roman"/>
                <w:bCs/>
                <w:color w:val="000000" w:themeColor="text1"/>
                <w:kern w:val="0"/>
                <w:sz w:val="24"/>
                <w:szCs w:val="24"/>
                <w14:textFill>
                  <w14:solidFill>
                    <w14:schemeClr w14:val="tx1"/>
                  </w14:solidFill>
                </w14:textFill>
              </w:rPr>
              <w:t>发明专利48项。</w:t>
            </w:r>
          </w:p>
          <w:p w14:paraId="2D7D739F">
            <w:pPr>
              <w:autoSpaceDE w:val="0"/>
              <w:snapToGrid w:val="0"/>
              <w:ind w:firstLine="482" w:firstLineChars="200"/>
              <w:jc w:val="left"/>
              <w:textAlignment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3. 打造校企育人高地，培养高水平技术人才</w:t>
            </w:r>
          </w:p>
          <w:p w14:paraId="75C3F281">
            <w:pPr>
              <w:pStyle w:val="34"/>
              <w:autoSpaceDE w:val="0"/>
              <w:ind w:firstLine="480" w:firstLineChars="200"/>
              <w:jc w:val="left"/>
              <w:textAlignment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2020年起</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学院开设“化工企业污染防治前沿性实用技术高级研修班”，为全市工程技术领域专业技术人员提供继续教育培训。持续多年与地方企业合作先后举办“歌瑞卓越班”、“镇海炼化班”、“中天氟硅班”、“仙鹤/夏王造纸班”，为企业培养了大批具地方特色的应用型人才。学院开设化学工程与工艺函授本科，积极开展社会继续教育培训。2024年</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扎实开展校企联合育人新高地</w:t>
            </w:r>
            <w:r>
              <w:rPr>
                <w:rFonts w:hint="default" w:ascii="Times New Roman" w:hAnsi="Times New Roman" w:cs="Times New Roman"/>
                <w:bCs/>
                <w:kern w:val="0"/>
                <w:sz w:val="24"/>
                <w:szCs w:val="24"/>
                <w:lang w:eastAsia="zh-CN"/>
              </w:rPr>
              <w:t>，</w:t>
            </w:r>
            <w:r>
              <w:rPr>
                <w:rFonts w:hint="default" w:ascii="Times New Roman" w:hAnsi="Times New Roman" w:cs="Times New Roman"/>
                <w:bCs/>
                <w:kern w:val="0"/>
                <w:sz w:val="24"/>
                <w:szCs w:val="24"/>
              </w:rPr>
              <w:t>面向行业企业和社会累计培训各类人员1000余人次。</w:t>
            </w:r>
          </w:p>
          <w:p w14:paraId="0CD4279B">
            <w:pPr>
              <w:pStyle w:val="34"/>
              <w:autoSpaceDE w:val="0"/>
              <w:textAlignment w:val="center"/>
              <w:rPr>
                <w:rFonts w:hint="default" w:ascii="Times New Roman" w:hAnsi="Times New Roman" w:cs="Times New Roman"/>
                <w:b/>
                <w:bCs/>
                <w:color w:val="FF0000"/>
                <w:sz w:val="21"/>
                <w:szCs w:val="21"/>
              </w:rPr>
            </w:pPr>
          </w:p>
        </w:tc>
      </w:tr>
      <w:tr w14:paraId="17B8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9745C02">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专家组评议意见</w:t>
            </w:r>
          </w:p>
        </w:tc>
        <w:tc>
          <w:tcPr>
            <w:tcW w:w="8940" w:type="dxa"/>
            <w:gridSpan w:val="4"/>
            <w:tcBorders>
              <w:top w:val="single" w:color="auto" w:sz="4" w:space="0"/>
              <w:left w:val="nil"/>
              <w:bottom w:val="single" w:color="auto" w:sz="4" w:space="0"/>
              <w:right w:val="single" w:color="auto" w:sz="4" w:space="0"/>
            </w:tcBorders>
            <w:shd w:val="clear" w:color="auto" w:fill="auto"/>
            <w:vAlign w:val="bottom"/>
          </w:tcPr>
          <w:p w14:paraId="295CFDD6">
            <w:pPr>
              <w:snapToGrid w:val="0"/>
              <w:jc w:val="left"/>
              <w:textAlignment w:val="center"/>
              <w:rPr>
                <w:rFonts w:hint="default" w:ascii="Times New Roman" w:hAnsi="Times New Roman" w:eastAsia="仿宋_GB2312" w:cs="Times New Roman"/>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sz w:val="24"/>
                <w:szCs w:val="24"/>
              </w:rPr>
              <w:t>（对应《办法》有关规定全面评议，不少于200字）</w:t>
            </w:r>
          </w:p>
          <w:p w14:paraId="40D7A0A1">
            <w:pPr>
              <w:snapToGrid w:val="0"/>
              <w:spacing w:line="300" w:lineRule="auto"/>
              <w:ind w:firstLine="480" w:firstLineChars="200"/>
              <w:jc w:val="left"/>
              <w:rPr>
                <w:rFonts w:hint="default" w:ascii="Times New Roman" w:hAnsi="Times New Roman" w:eastAsia="仿宋_GB2312" w:cs="Times New Roman"/>
                <w:sz w:val="24"/>
                <w:szCs w:val="24"/>
              </w:rPr>
            </w:pPr>
          </w:p>
          <w:p w14:paraId="4FF404D6">
            <w:pPr>
              <w:snapToGrid w:val="0"/>
              <w:jc w:val="left"/>
              <w:rPr>
                <w:rFonts w:hint="default" w:ascii="Times New Roman" w:hAnsi="Times New Roman" w:eastAsia="仿宋_GB2312" w:cs="Times New Roman"/>
                <w:sz w:val="18"/>
                <w:szCs w:val="18"/>
              </w:rPr>
            </w:pPr>
          </w:p>
          <w:p w14:paraId="22507425">
            <w:pPr>
              <w:snapToGrid w:val="0"/>
              <w:jc w:val="left"/>
              <w:rPr>
                <w:rFonts w:hint="default" w:ascii="Times New Roman" w:hAnsi="Times New Roman" w:eastAsia="仿宋_GB2312" w:cs="Times New Roman"/>
                <w:sz w:val="18"/>
                <w:szCs w:val="18"/>
              </w:rPr>
            </w:pPr>
          </w:p>
          <w:p w14:paraId="0FAB2C2C">
            <w:pPr>
              <w:snapToGrid w:val="0"/>
              <w:jc w:val="left"/>
              <w:rPr>
                <w:rFonts w:hint="default" w:ascii="Times New Roman" w:hAnsi="Times New Roman" w:eastAsia="仿宋_GB2312" w:cs="Times New Roman"/>
                <w:sz w:val="18"/>
                <w:szCs w:val="18"/>
              </w:rPr>
            </w:pPr>
          </w:p>
          <w:p w14:paraId="08E6941A">
            <w:pPr>
              <w:snapToGrid w:val="0"/>
              <w:jc w:val="left"/>
              <w:rPr>
                <w:rFonts w:hint="default" w:ascii="Times New Roman" w:hAnsi="Times New Roman" w:eastAsia="仿宋_GB2312" w:cs="Times New Roman"/>
                <w:sz w:val="18"/>
                <w:szCs w:val="18"/>
              </w:rPr>
            </w:pPr>
          </w:p>
          <w:p w14:paraId="521412A8">
            <w:pPr>
              <w:snapToGrid w:val="0"/>
              <w:jc w:val="left"/>
              <w:rPr>
                <w:rFonts w:hint="default" w:ascii="Times New Roman" w:hAnsi="Times New Roman" w:eastAsia="仿宋_GB2312" w:cs="Times New Roman"/>
                <w:sz w:val="18"/>
                <w:szCs w:val="18"/>
              </w:rPr>
            </w:pPr>
          </w:p>
          <w:p w14:paraId="5A3C4CED">
            <w:pPr>
              <w:snapToGrid w:val="0"/>
              <w:jc w:val="left"/>
              <w:rPr>
                <w:rFonts w:hint="default" w:ascii="Times New Roman" w:hAnsi="Times New Roman" w:eastAsia="仿宋_GB2312" w:cs="Times New Roman"/>
                <w:sz w:val="18"/>
                <w:szCs w:val="18"/>
              </w:rPr>
            </w:pPr>
          </w:p>
          <w:p w14:paraId="06AA73B9">
            <w:pPr>
              <w:snapToGrid w:val="0"/>
              <w:jc w:val="left"/>
              <w:rPr>
                <w:rFonts w:hint="default" w:ascii="Times New Roman" w:hAnsi="Times New Roman" w:eastAsia="仿宋_GB2312" w:cs="Times New Roman"/>
                <w:sz w:val="18"/>
                <w:szCs w:val="18"/>
              </w:rPr>
            </w:pPr>
          </w:p>
          <w:p w14:paraId="4EE98842">
            <w:pPr>
              <w:snapToGrid w:val="0"/>
              <w:jc w:val="left"/>
              <w:rPr>
                <w:rFonts w:hint="default" w:ascii="Times New Roman" w:hAnsi="Times New Roman" w:eastAsia="仿宋_GB2312" w:cs="Times New Roman"/>
                <w:sz w:val="18"/>
                <w:szCs w:val="18"/>
              </w:rPr>
            </w:pPr>
          </w:p>
          <w:p w14:paraId="738FD9F8">
            <w:pPr>
              <w:snapToGrid w:val="0"/>
              <w:jc w:val="left"/>
              <w:rPr>
                <w:rFonts w:hint="default" w:ascii="Times New Roman" w:hAnsi="Times New Roman" w:eastAsia="仿宋_GB2312" w:cs="Times New Roman"/>
                <w:sz w:val="18"/>
                <w:szCs w:val="18"/>
              </w:rPr>
            </w:pPr>
          </w:p>
          <w:p w14:paraId="3E6F589E">
            <w:pPr>
              <w:snapToGrid w:val="0"/>
              <w:jc w:val="left"/>
              <w:rPr>
                <w:rFonts w:hint="default" w:ascii="Times New Roman" w:hAnsi="Times New Roman" w:eastAsia="仿宋_GB2312" w:cs="Times New Roman"/>
                <w:sz w:val="18"/>
                <w:szCs w:val="18"/>
              </w:rPr>
            </w:pPr>
          </w:p>
          <w:p w14:paraId="1070A889">
            <w:pPr>
              <w:snapToGrid w:val="0"/>
              <w:jc w:val="left"/>
              <w:rPr>
                <w:rFonts w:hint="default" w:ascii="Times New Roman" w:hAnsi="Times New Roman" w:eastAsia="仿宋_GB2312" w:cs="Times New Roman"/>
                <w:sz w:val="18"/>
                <w:szCs w:val="18"/>
              </w:rPr>
            </w:pPr>
          </w:p>
          <w:p w14:paraId="2ADF7E7F">
            <w:pPr>
              <w:snapToGrid w:val="0"/>
              <w:jc w:val="left"/>
              <w:rPr>
                <w:rFonts w:hint="default" w:ascii="Times New Roman" w:hAnsi="Times New Roman" w:eastAsia="仿宋_GB2312" w:cs="Times New Roman"/>
                <w:sz w:val="18"/>
                <w:szCs w:val="18"/>
              </w:rPr>
            </w:pPr>
          </w:p>
          <w:p w14:paraId="20BD1C13">
            <w:pPr>
              <w:snapToGrid w:val="0"/>
              <w:jc w:val="left"/>
              <w:rPr>
                <w:rFonts w:hint="default" w:ascii="Times New Roman" w:hAnsi="Times New Roman" w:eastAsia="仿宋_GB2312" w:cs="Times New Roman"/>
                <w:sz w:val="18"/>
                <w:szCs w:val="18"/>
              </w:rPr>
            </w:pPr>
          </w:p>
          <w:p w14:paraId="350BE858">
            <w:pPr>
              <w:snapToGrid w:val="0"/>
              <w:jc w:val="left"/>
              <w:rPr>
                <w:rFonts w:hint="default" w:ascii="Times New Roman" w:hAnsi="Times New Roman" w:eastAsia="仿宋_GB2312" w:cs="Times New Roman"/>
                <w:sz w:val="18"/>
                <w:szCs w:val="18"/>
              </w:rPr>
            </w:pPr>
          </w:p>
          <w:p w14:paraId="416B0C80">
            <w:pPr>
              <w:snapToGrid w:val="0"/>
              <w:jc w:val="left"/>
              <w:rPr>
                <w:rFonts w:hint="default" w:ascii="Times New Roman" w:hAnsi="Times New Roman" w:eastAsia="仿宋_GB2312" w:cs="Times New Roman"/>
                <w:sz w:val="18"/>
                <w:szCs w:val="18"/>
              </w:rPr>
            </w:pPr>
          </w:p>
          <w:p w14:paraId="362A1DBD">
            <w:pPr>
              <w:snapToGrid w:val="0"/>
              <w:jc w:val="left"/>
              <w:rPr>
                <w:rFonts w:hint="default" w:ascii="Times New Roman" w:hAnsi="Times New Roman" w:eastAsia="仿宋_GB2312" w:cs="Times New Roman"/>
                <w:sz w:val="18"/>
                <w:szCs w:val="18"/>
              </w:rPr>
            </w:pPr>
          </w:p>
          <w:p w14:paraId="7DDC35D7">
            <w:pPr>
              <w:snapToGrid w:val="0"/>
              <w:jc w:val="left"/>
              <w:rPr>
                <w:rFonts w:hint="default" w:ascii="Times New Roman" w:hAnsi="Times New Roman" w:eastAsia="仿宋_GB2312" w:cs="Times New Roman"/>
                <w:sz w:val="18"/>
                <w:szCs w:val="18"/>
              </w:rPr>
            </w:pPr>
          </w:p>
          <w:p w14:paraId="5C0F6AFA">
            <w:pPr>
              <w:snapToGrid w:val="0"/>
              <w:jc w:val="left"/>
              <w:rPr>
                <w:rFonts w:hint="default" w:ascii="Times New Roman" w:hAnsi="Times New Roman" w:eastAsia="仿宋_GB2312" w:cs="Times New Roman"/>
                <w:sz w:val="18"/>
                <w:szCs w:val="18"/>
              </w:rPr>
            </w:pPr>
          </w:p>
          <w:p w14:paraId="566AB922">
            <w:pPr>
              <w:snapToGrid w:val="0"/>
              <w:jc w:val="left"/>
              <w:rPr>
                <w:rFonts w:hint="default" w:ascii="Times New Roman" w:hAnsi="Times New Roman" w:eastAsia="仿宋_GB2312" w:cs="Times New Roman"/>
                <w:sz w:val="18"/>
                <w:szCs w:val="18"/>
              </w:rPr>
            </w:pPr>
          </w:p>
          <w:p w14:paraId="4908147F">
            <w:pPr>
              <w:snapToGrid w:val="0"/>
              <w:jc w:val="left"/>
              <w:rPr>
                <w:rFonts w:hint="default" w:ascii="Times New Roman" w:hAnsi="Times New Roman" w:eastAsia="仿宋_GB2312" w:cs="Times New Roman"/>
                <w:sz w:val="18"/>
                <w:szCs w:val="18"/>
              </w:rPr>
            </w:pPr>
          </w:p>
          <w:p w14:paraId="5D5BAB09">
            <w:pPr>
              <w:snapToGrid w:val="0"/>
              <w:jc w:val="left"/>
              <w:rPr>
                <w:rFonts w:hint="default" w:ascii="Times New Roman" w:hAnsi="Times New Roman" w:eastAsia="仿宋_GB2312" w:cs="Times New Roman"/>
                <w:sz w:val="18"/>
                <w:szCs w:val="18"/>
              </w:rPr>
            </w:pPr>
          </w:p>
          <w:p w14:paraId="7A2F6C82">
            <w:pPr>
              <w:snapToGrid w:val="0"/>
              <w:jc w:val="left"/>
              <w:rPr>
                <w:rFonts w:hint="default" w:ascii="Times New Roman" w:hAnsi="Times New Roman" w:eastAsia="仿宋_GB2312" w:cs="Times New Roman"/>
                <w:sz w:val="18"/>
                <w:szCs w:val="18"/>
              </w:rPr>
            </w:pPr>
          </w:p>
          <w:p w14:paraId="48615A39">
            <w:pPr>
              <w:snapToGrid w:val="0"/>
              <w:jc w:val="left"/>
              <w:rPr>
                <w:rFonts w:hint="default" w:ascii="Times New Roman" w:hAnsi="Times New Roman" w:eastAsia="仿宋_GB2312" w:cs="Times New Roman"/>
                <w:sz w:val="18"/>
                <w:szCs w:val="18"/>
              </w:rPr>
            </w:pPr>
          </w:p>
          <w:p w14:paraId="638D975F">
            <w:pPr>
              <w:snapToGrid w:val="0"/>
              <w:jc w:val="left"/>
              <w:rPr>
                <w:rFonts w:hint="default" w:ascii="Times New Roman" w:hAnsi="Times New Roman" w:eastAsia="仿宋_GB2312" w:cs="Times New Roman"/>
                <w:sz w:val="18"/>
                <w:szCs w:val="18"/>
              </w:rPr>
            </w:pPr>
          </w:p>
          <w:p w14:paraId="507ABBBF">
            <w:pPr>
              <w:snapToGrid w:val="0"/>
              <w:jc w:val="left"/>
              <w:rPr>
                <w:rFonts w:hint="default" w:ascii="Times New Roman" w:hAnsi="Times New Roman" w:eastAsia="仿宋_GB2312" w:cs="Times New Roman"/>
                <w:sz w:val="18"/>
                <w:szCs w:val="18"/>
              </w:rPr>
            </w:pPr>
          </w:p>
          <w:p w14:paraId="745459E8">
            <w:pPr>
              <w:snapToGrid w:val="0"/>
              <w:jc w:val="left"/>
              <w:rPr>
                <w:rFonts w:hint="default" w:ascii="Times New Roman" w:hAnsi="Times New Roman" w:eastAsia="仿宋_GB2312" w:cs="Times New Roman"/>
                <w:sz w:val="18"/>
                <w:szCs w:val="18"/>
              </w:rPr>
            </w:pPr>
          </w:p>
          <w:p w14:paraId="2B1A7C6C">
            <w:pPr>
              <w:snapToGrid w:val="0"/>
              <w:jc w:val="left"/>
              <w:rPr>
                <w:rFonts w:hint="default" w:ascii="Times New Roman" w:hAnsi="Times New Roman" w:eastAsia="仿宋_GB2312" w:cs="Times New Roman"/>
                <w:sz w:val="18"/>
                <w:szCs w:val="18"/>
              </w:rPr>
            </w:pPr>
          </w:p>
          <w:p w14:paraId="55CA7D8B">
            <w:pPr>
              <w:snapToGrid w:val="0"/>
              <w:jc w:val="left"/>
              <w:rPr>
                <w:rFonts w:hint="default" w:ascii="Times New Roman" w:hAnsi="Times New Roman" w:eastAsia="仿宋_GB2312" w:cs="Times New Roman"/>
                <w:sz w:val="18"/>
                <w:szCs w:val="18"/>
              </w:rPr>
            </w:pPr>
          </w:p>
          <w:p w14:paraId="14AD4E2F">
            <w:pPr>
              <w:snapToGrid w:val="0"/>
              <w:jc w:val="left"/>
              <w:rPr>
                <w:rFonts w:hint="default" w:ascii="Times New Roman" w:hAnsi="Times New Roman" w:eastAsia="仿宋_GB2312" w:cs="Times New Roman"/>
                <w:sz w:val="18"/>
                <w:szCs w:val="18"/>
              </w:rPr>
            </w:pPr>
          </w:p>
          <w:p w14:paraId="70013675">
            <w:pPr>
              <w:snapToGrid w:val="0"/>
              <w:jc w:val="left"/>
              <w:rPr>
                <w:rFonts w:hint="default" w:ascii="Times New Roman" w:hAnsi="Times New Roman" w:eastAsia="仿宋_GB2312" w:cs="Times New Roman"/>
                <w:sz w:val="18"/>
                <w:szCs w:val="18"/>
              </w:rPr>
            </w:pPr>
          </w:p>
          <w:p w14:paraId="5698356A">
            <w:pPr>
              <w:snapToGrid w:val="0"/>
              <w:jc w:val="left"/>
              <w:rPr>
                <w:rFonts w:hint="default" w:ascii="Times New Roman" w:hAnsi="Times New Roman" w:eastAsia="仿宋_GB2312" w:cs="Times New Roman"/>
                <w:sz w:val="18"/>
                <w:szCs w:val="18"/>
              </w:rPr>
            </w:pPr>
          </w:p>
          <w:p w14:paraId="669DE2C5">
            <w:pPr>
              <w:snapToGrid w:val="0"/>
              <w:jc w:val="left"/>
              <w:rPr>
                <w:rFonts w:hint="default" w:ascii="Times New Roman" w:hAnsi="Times New Roman" w:eastAsia="仿宋_GB2312" w:cs="Times New Roman"/>
                <w:sz w:val="18"/>
                <w:szCs w:val="18"/>
              </w:rPr>
            </w:pPr>
          </w:p>
          <w:p w14:paraId="1BC36C08">
            <w:pPr>
              <w:snapToGrid w:val="0"/>
              <w:jc w:val="left"/>
              <w:rPr>
                <w:rFonts w:hint="default" w:ascii="Times New Roman" w:hAnsi="Times New Roman" w:eastAsia="仿宋_GB2312" w:cs="Times New Roman"/>
                <w:sz w:val="18"/>
                <w:szCs w:val="18"/>
              </w:rPr>
            </w:pPr>
          </w:p>
          <w:p w14:paraId="12C61BBA">
            <w:pPr>
              <w:snapToGrid w:val="0"/>
              <w:jc w:val="left"/>
              <w:rPr>
                <w:rFonts w:hint="default" w:ascii="Times New Roman" w:hAnsi="Times New Roman" w:eastAsia="仿宋_GB2312" w:cs="Times New Roman"/>
                <w:sz w:val="18"/>
                <w:szCs w:val="18"/>
              </w:rPr>
            </w:pPr>
          </w:p>
          <w:p w14:paraId="0DC22604">
            <w:pPr>
              <w:snapToGrid w:val="0"/>
              <w:jc w:val="left"/>
              <w:rPr>
                <w:rFonts w:hint="default" w:ascii="Times New Roman" w:hAnsi="Times New Roman" w:eastAsia="仿宋_GB2312" w:cs="Times New Roman"/>
                <w:sz w:val="18"/>
                <w:szCs w:val="18"/>
              </w:rPr>
            </w:pPr>
          </w:p>
          <w:p w14:paraId="1FF546DF">
            <w:pPr>
              <w:snapToGrid w:val="0"/>
              <w:jc w:val="left"/>
              <w:rPr>
                <w:rFonts w:hint="default" w:ascii="Times New Roman" w:hAnsi="Times New Roman" w:eastAsia="仿宋_GB2312" w:cs="Times New Roman"/>
                <w:sz w:val="18"/>
                <w:szCs w:val="18"/>
              </w:rPr>
            </w:pPr>
          </w:p>
          <w:p w14:paraId="5E4703B3">
            <w:pPr>
              <w:wordWrap w:val="0"/>
              <w:snapToGrid w:val="0"/>
              <w:ind w:firstLine="1440" w:firstLineChars="6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专家组长签字：                                   </w:t>
            </w:r>
          </w:p>
          <w:p w14:paraId="083755BB">
            <w:pPr>
              <w:snapToGrid w:val="0"/>
              <w:jc w:val="right"/>
              <w:textAlignment w:val="center"/>
              <w:rPr>
                <w:rFonts w:hint="default" w:ascii="Times New Roman" w:hAnsi="Times New Roman" w:cs="Times New Roman"/>
                <w:sz w:val="24"/>
                <w:szCs w:val="24"/>
              </w:rPr>
            </w:pPr>
          </w:p>
        </w:tc>
      </w:tr>
      <w:tr w14:paraId="647F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7"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C5B1450">
            <w:pPr>
              <w:snapToGrid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省级教育行政部门复核意见</w:t>
            </w:r>
          </w:p>
        </w:tc>
        <w:tc>
          <w:tcPr>
            <w:tcW w:w="8940" w:type="dxa"/>
            <w:gridSpan w:val="4"/>
            <w:tcBorders>
              <w:top w:val="single" w:color="auto" w:sz="4" w:space="0"/>
              <w:left w:val="nil"/>
              <w:bottom w:val="single" w:color="auto" w:sz="4" w:space="0"/>
              <w:right w:val="single" w:color="auto" w:sz="4" w:space="0"/>
            </w:tcBorders>
            <w:shd w:val="clear" w:color="auto" w:fill="auto"/>
            <w:vAlign w:val="bottom"/>
          </w:tcPr>
          <w:p w14:paraId="541034F4">
            <w:pPr>
              <w:snapToGrid w:val="0"/>
              <w:jc w:val="left"/>
              <w:textAlignment w:val="center"/>
              <w:rPr>
                <w:rFonts w:hint="default" w:ascii="Times New Roman" w:hAnsi="Times New Roman" w:cs="Times New Roman"/>
                <w:sz w:val="24"/>
                <w:szCs w:val="24"/>
              </w:rPr>
            </w:pPr>
          </w:p>
          <w:p w14:paraId="662CE440">
            <w:pPr>
              <w:snapToGrid w:val="0"/>
              <w:jc w:val="left"/>
              <w:textAlignment w:val="center"/>
              <w:rPr>
                <w:rFonts w:hint="default" w:ascii="Times New Roman" w:hAnsi="Times New Roman" w:cs="Times New Roman"/>
                <w:sz w:val="24"/>
                <w:szCs w:val="24"/>
              </w:rPr>
            </w:pPr>
          </w:p>
          <w:p w14:paraId="79EA0000">
            <w:pPr>
              <w:snapToGrid w:val="0"/>
              <w:jc w:val="left"/>
              <w:textAlignment w:val="center"/>
              <w:rPr>
                <w:rFonts w:hint="default" w:ascii="Times New Roman" w:hAnsi="Times New Roman" w:cs="Times New Roman"/>
                <w:sz w:val="24"/>
                <w:szCs w:val="24"/>
              </w:rPr>
            </w:pPr>
          </w:p>
          <w:p w14:paraId="52C4B5E2">
            <w:pPr>
              <w:snapToGrid w:val="0"/>
              <w:jc w:val="left"/>
              <w:textAlignment w:val="center"/>
              <w:rPr>
                <w:rFonts w:hint="default" w:ascii="Times New Roman" w:hAnsi="Times New Roman" w:cs="Times New Roman"/>
                <w:sz w:val="24"/>
                <w:szCs w:val="24"/>
              </w:rPr>
            </w:pPr>
          </w:p>
          <w:p w14:paraId="067FA284">
            <w:pPr>
              <w:snapToGrid w:val="0"/>
              <w:jc w:val="left"/>
              <w:textAlignment w:val="center"/>
              <w:rPr>
                <w:rFonts w:hint="default" w:ascii="Times New Roman" w:hAnsi="Times New Roman" w:cs="Times New Roman"/>
                <w:sz w:val="24"/>
                <w:szCs w:val="24"/>
              </w:rPr>
            </w:pPr>
          </w:p>
          <w:p w14:paraId="15F6316B">
            <w:pPr>
              <w:snapToGrid w:val="0"/>
              <w:jc w:val="left"/>
              <w:textAlignment w:val="center"/>
              <w:rPr>
                <w:rFonts w:hint="default" w:ascii="Times New Roman" w:hAnsi="Times New Roman" w:cs="Times New Roman"/>
                <w:sz w:val="24"/>
                <w:szCs w:val="24"/>
              </w:rPr>
            </w:pPr>
          </w:p>
          <w:p w14:paraId="74EAABFD">
            <w:pPr>
              <w:snapToGrid w:val="0"/>
              <w:jc w:val="left"/>
              <w:textAlignment w:val="center"/>
              <w:rPr>
                <w:rFonts w:hint="default" w:ascii="Times New Roman" w:hAnsi="Times New Roman" w:cs="Times New Roman"/>
                <w:sz w:val="24"/>
                <w:szCs w:val="24"/>
              </w:rPr>
            </w:pPr>
          </w:p>
          <w:p w14:paraId="059A1796">
            <w:pPr>
              <w:snapToGrid w:val="0"/>
              <w:jc w:val="left"/>
              <w:textAlignment w:val="center"/>
              <w:rPr>
                <w:rFonts w:hint="default" w:ascii="Times New Roman" w:hAnsi="Times New Roman" w:cs="Times New Roman"/>
                <w:sz w:val="24"/>
                <w:szCs w:val="24"/>
              </w:rPr>
            </w:pPr>
          </w:p>
          <w:p w14:paraId="54A5A4DA">
            <w:pPr>
              <w:snapToGrid w:val="0"/>
              <w:jc w:val="left"/>
              <w:textAlignment w:val="center"/>
              <w:rPr>
                <w:rFonts w:hint="default" w:ascii="Times New Roman" w:hAnsi="Times New Roman" w:cs="Times New Roman"/>
                <w:sz w:val="24"/>
                <w:szCs w:val="24"/>
              </w:rPr>
            </w:pPr>
          </w:p>
          <w:p w14:paraId="70A1A624">
            <w:pPr>
              <w:snapToGrid w:val="0"/>
              <w:jc w:val="left"/>
              <w:textAlignment w:val="center"/>
              <w:rPr>
                <w:rFonts w:hint="default" w:ascii="Times New Roman" w:hAnsi="Times New Roman" w:cs="Times New Roman"/>
                <w:sz w:val="24"/>
                <w:szCs w:val="24"/>
              </w:rPr>
            </w:pPr>
          </w:p>
          <w:p w14:paraId="33C39422">
            <w:pPr>
              <w:snapToGrid w:val="0"/>
              <w:jc w:val="left"/>
              <w:textAlignment w:val="center"/>
              <w:rPr>
                <w:rFonts w:hint="default" w:ascii="Times New Roman" w:hAnsi="Times New Roman" w:cs="Times New Roman"/>
                <w:sz w:val="24"/>
                <w:szCs w:val="24"/>
              </w:rPr>
            </w:pPr>
          </w:p>
          <w:p w14:paraId="7D62D1E1">
            <w:pPr>
              <w:snapToGrid w:val="0"/>
              <w:jc w:val="right"/>
              <w:textAlignment w:val="center"/>
              <w:rPr>
                <w:rFonts w:hint="default" w:ascii="Times New Roman" w:hAnsi="Times New Roman" w:cs="Times New Roman"/>
                <w:sz w:val="24"/>
                <w:szCs w:val="24"/>
              </w:rPr>
            </w:pPr>
          </w:p>
          <w:p w14:paraId="4F1DE876">
            <w:pPr>
              <w:snapToGrid w:val="0"/>
              <w:ind w:right="1920"/>
              <w:jc w:val="right"/>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                     （盖章）            </w:t>
            </w:r>
          </w:p>
          <w:p w14:paraId="54F06E17">
            <w:pPr>
              <w:snapToGrid w:val="0"/>
              <w:jc w:val="right"/>
              <w:textAlignment w:val="center"/>
              <w:rPr>
                <w:rFonts w:hint="default" w:ascii="Times New Roman" w:hAnsi="Times New Roman" w:cs="Times New Roman"/>
                <w:sz w:val="24"/>
                <w:szCs w:val="24"/>
              </w:rPr>
            </w:pPr>
          </w:p>
          <w:p w14:paraId="2BDF5750">
            <w:pPr>
              <w:wordWrap w:val="0"/>
              <w:snapToGrid w:val="0"/>
              <w:jc w:val="right"/>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 年    月    日         </w:t>
            </w:r>
          </w:p>
          <w:p w14:paraId="1AE7E47D">
            <w:pPr>
              <w:snapToGrid w:val="0"/>
              <w:jc w:val="left"/>
              <w:textAlignment w:val="center"/>
              <w:rPr>
                <w:rFonts w:hint="default" w:ascii="Times New Roman" w:hAnsi="Times New Roman" w:cs="Times New Roman"/>
                <w:sz w:val="24"/>
                <w:szCs w:val="24"/>
              </w:rPr>
            </w:pPr>
          </w:p>
        </w:tc>
      </w:tr>
    </w:tbl>
    <w:p w14:paraId="71FCCBDF">
      <w:pPr>
        <w:rPr>
          <w:rFonts w:hint="default" w:ascii="Times New Roman" w:hAnsi="Times New Roman" w:eastAsia="方正仿宋简体" w:cs="Times New Roman"/>
          <w:sz w:val="28"/>
          <w:szCs w:val="28"/>
          <w:u w:val="single"/>
        </w:rPr>
      </w:pPr>
      <w:bookmarkStart w:id="5" w:name="_GoBack"/>
      <w:bookmarkEnd w:id="5"/>
    </w:p>
    <w:sectPr>
      <w:pgSz w:w="11906" w:h="16838"/>
      <w:pgMar w:top="1134" w:right="1134" w:bottom="1134" w:left="1134" w:header="851" w:footer="397" w:gutter="0"/>
      <w:pgNumType w:fmt="decimal"/>
      <w:cols w:space="0" w:num="1"/>
      <w:titlePg/>
      <w:docGrid w:type="lines" w:linePitch="5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E44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22B1E">
                          <w:pPr>
                            <w:pStyle w:val="10"/>
                            <w:rPr>
                              <w:rFonts w:hint="eastAsia" w:eastAsia="仿宋_GB2312"/>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4</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C22B1E">
                    <w:pPr>
                      <w:pStyle w:val="10"/>
                      <w:rPr>
                        <w:rFonts w:hint="eastAsia" w:eastAsia="仿宋_GB2312"/>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4</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1DD92">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B3DA5">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7B3DA5">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64FD6"/>
    <w:multiLevelType w:val="singleLevel"/>
    <w:tmpl w:val="B5164FD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AF"/>
    <w:rsid w:val="00015BA8"/>
    <w:rsid w:val="0002222F"/>
    <w:rsid w:val="00040A5B"/>
    <w:rsid w:val="000734B0"/>
    <w:rsid w:val="00081142"/>
    <w:rsid w:val="00081E51"/>
    <w:rsid w:val="000A5B22"/>
    <w:rsid w:val="000B2866"/>
    <w:rsid w:val="000C288C"/>
    <w:rsid w:val="000E4145"/>
    <w:rsid w:val="001124FE"/>
    <w:rsid w:val="00117071"/>
    <w:rsid w:val="0012376C"/>
    <w:rsid w:val="001322EB"/>
    <w:rsid w:val="001728D9"/>
    <w:rsid w:val="001738B2"/>
    <w:rsid w:val="00183D88"/>
    <w:rsid w:val="001E2AF2"/>
    <w:rsid w:val="001E5C20"/>
    <w:rsid w:val="00213289"/>
    <w:rsid w:val="00221CC4"/>
    <w:rsid w:val="00251ED4"/>
    <w:rsid w:val="002C2C18"/>
    <w:rsid w:val="002F2D6A"/>
    <w:rsid w:val="00301130"/>
    <w:rsid w:val="00310EB0"/>
    <w:rsid w:val="00313107"/>
    <w:rsid w:val="00355DAC"/>
    <w:rsid w:val="00382DAD"/>
    <w:rsid w:val="003A0336"/>
    <w:rsid w:val="003B2979"/>
    <w:rsid w:val="003C5C84"/>
    <w:rsid w:val="003D4460"/>
    <w:rsid w:val="003E5A81"/>
    <w:rsid w:val="003F543F"/>
    <w:rsid w:val="00403A6F"/>
    <w:rsid w:val="004453C2"/>
    <w:rsid w:val="004602DF"/>
    <w:rsid w:val="00472B0E"/>
    <w:rsid w:val="00482B4A"/>
    <w:rsid w:val="00494252"/>
    <w:rsid w:val="004B7766"/>
    <w:rsid w:val="004F2504"/>
    <w:rsid w:val="0057370D"/>
    <w:rsid w:val="00577BAB"/>
    <w:rsid w:val="005A05FE"/>
    <w:rsid w:val="005A73B1"/>
    <w:rsid w:val="00627744"/>
    <w:rsid w:val="00636290"/>
    <w:rsid w:val="00636987"/>
    <w:rsid w:val="006729DF"/>
    <w:rsid w:val="00696D54"/>
    <w:rsid w:val="006C0A7B"/>
    <w:rsid w:val="006D260E"/>
    <w:rsid w:val="006E3A92"/>
    <w:rsid w:val="00704D42"/>
    <w:rsid w:val="00740563"/>
    <w:rsid w:val="00741A3B"/>
    <w:rsid w:val="00742AAB"/>
    <w:rsid w:val="00761A70"/>
    <w:rsid w:val="007962D7"/>
    <w:rsid w:val="007C28C5"/>
    <w:rsid w:val="007D39A6"/>
    <w:rsid w:val="007F21B0"/>
    <w:rsid w:val="00800C38"/>
    <w:rsid w:val="00844A7C"/>
    <w:rsid w:val="008929E3"/>
    <w:rsid w:val="008F64D6"/>
    <w:rsid w:val="00962719"/>
    <w:rsid w:val="00967672"/>
    <w:rsid w:val="0098716C"/>
    <w:rsid w:val="009B0041"/>
    <w:rsid w:val="009B0BD5"/>
    <w:rsid w:val="009C275A"/>
    <w:rsid w:val="009C7A5C"/>
    <w:rsid w:val="00A46EF8"/>
    <w:rsid w:val="00A5385A"/>
    <w:rsid w:val="00A9480D"/>
    <w:rsid w:val="00A97917"/>
    <w:rsid w:val="00AF161A"/>
    <w:rsid w:val="00AF6DD3"/>
    <w:rsid w:val="00B02664"/>
    <w:rsid w:val="00B07064"/>
    <w:rsid w:val="00B10226"/>
    <w:rsid w:val="00B850E1"/>
    <w:rsid w:val="00BB1FE0"/>
    <w:rsid w:val="00BB2374"/>
    <w:rsid w:val="00BB3AD1"/>
    <w:rsid w:val="00C01F4F"/>
    <w:rsid w:val="00C151EF"/>
    <w:rsid w:val="00C22519"/>
    <w:rsid w:val="00C74F45"/>
    <w:rsid w:val="00C75402"/>
    <w:rsid w:val="00C845F5"/>
    <w:rsid w:val="00CB764A"/>
    <w:rsid w:val="00CD6D15"/>
    <w:rsid w:val="00CF6606"/>
    <w:rsid w:val="00D43913"/>
    <w:rsid w:val="00D462A1"/>
    <w:rsid w:val="00D561B1"/>
    <w:rsid w:val="00D63FC3"/>
    <w:rsid w:val="00D85C36"/>
    <w:rsid w:val="00DB0C64"/>
    <w:rsid w:val="00DC7026"/>
    <w:rsid w:val="00DD0CF4"/>
    <w:rsid w:val="00DF42AF"/>
    <w:rsid w:val="00E02C5A"/>
    <w:rsid w:val="00E33AF3"/>
    <w:rsid w:val="00E6131C"/>
    <w:rsid w:val="00E64C73"/>
    <w:rsid w:val="00EC77A9"/>
    <w:rsid w:val="00ED3CDA"/>
    <w:rsid w:val="00EF41D1"/>
    <w:rsid w:val="00F0417E"/>
    <w:rsid w:val="00F1283B"/>
    <w:rsid w:val="00F232DB"/>
    <w:rsid w:val="00F25E6F"/>
    <w:rsid w:val="00FD1F4B"/>
    <w:rsid w:val="010A455D"/>
    <w:rsid w:val="01B04477"/>
    <w:rsid w:val="037C5EC3"/>
    <w:rsid w:val="03D90444"/>
    <w:rsid w:val="04026E00"/>
    <w:rsid w:val="05CF6C05"/>
    <w:rsid w:val="07F83F68"/>
    <w:rsid w:val="0CD76B8E"/>
    <w:rsid w:val="0D233259"/>
    <w:rsid w:val="0E056A05"/>
    <w:rsid w:val="10C83D1A"/>
    <w:rsid w:val="10E16B8A"/>
    <w:rsid w:val="13A7230D"/>
    <w:rsid w:val="15EF328F"/>
    <w:rsid w:val="17997C7D"/>
    <w:rsid w:val="1BF65BDF"/>
    <w:rsid w:val="1C874A89"/>
    <w:rsid w:val="1D9456B0"/>
    <w:rsid w:val="1DB36F24"/>
    <w:rsid w:val="231D7EF5"/>
    <w:rsid w:val="24B15378"/>
    <w:rsid w:val="25331C52"/>
    <w:rsid w:val="2595235A"/>
    <w:rsid w:val="28D503E4"/>
    <w:rsid w:val="28E479F3"/>
    <w:rsid w:val="28F33BD2"/>
    <w:rsid w:val="29671ECA"/>
    <w:rsid w:val="29785E86"/>
    <w:rsid w:val="297E512F"/>
    <w:rsid w:val="2ACF5D31"/>
    <w:rsid w:val="2BC25ADE"/>
    <w:rsid w:val="2DAA4A7C"/>
    <w:rsid w:val="2E0159C2"/>
    <w:rsid w:val="2EC11CDB"/>
    <w:rsid w:val="2EC1207D"/>
    <w:rsid w:val="2EF31FCB"/>
    <w:rsid w:val="2FC82F97"/>
    <w:rsid w:val="2FD3F932"/>
    <w:rsid w:val="30782C0F"/>
    <w:rsid w:val="30F524B2"/>
    <w:rsid w:val="311F752F"/>
    <w:rsid w:val="329F0927"/>
    <w:rsid w:val="33E94554"/>
    <w:rsid w:val="34493DD6"/>
    <w:rsid w:val="361277BE"/>
    <w:rsid w:val="373A6A7A"/>
    <w:rsid w:val="3B36368A"/>
    <w:rsid w:val="3BAA2869"/>
    <w:rsid w:val="3CAE58A8"/>
    <w:rsid w:val="3CB21257"/>
    <w:rsid w:val="3D197528"/>
    <w:rsid w:val="3DC94AAA"/>
    <w:rsid w:val="3E893622"/>
    <w:rsid w:val="3E8B6203"/>
    <w:rsid w:val="3F7E41DB"/>
    <w:rsid w:val="3F9335C1"/>
    <w:rsid w:val="3FBF8683"/>
    <w:rsid w:val="419B675D"/>
    <w:rsid w:val="42022339"/>
    <w:rsid w:val="43A01B37"/>
    <w:rsid w:val="441834A5"/>
    <w:rsid w:val="462A6302"/>
    <w:rsid w:val="46D72545"/>
    <w:rsid w:val="47897A0E"/>
    <w:rsid w:val="47F72C5B"/>
    <w:rsid w:val="4AFC1FE1"/>
    <w:rsid w:val="4CDB9FFE"/>
    <w:rsid w:val="4F5A44CE"/>
    <w:rsid w:val="4F79FE41"/>
    <w:rsid w:val="4F9E5A32"/>
    <w:rsid w:val="502F3E8A"/>
    <w:rsid w:val="512E7953"/>
    <w:rsid w:val="55621614"/>
    <w:rsid w:val="557F202A"/>
    <w:rsid w:val="57AF9B7B"/>
    <w:rsid w:val="58C61EBA"/>
    <w:rsid w:val="59A86C0E"/>
    <w:rsid w:val="5D397924"/>
    <w:rsid w:val="5DFEA4BC"/>
    <w:rsid w:val="5E6FAA3B"/>
    <w:rsid w:val="5FEFEF0C"/>
    <w:rsid w:val="60B67608"/>
    <w:rsid w:val="61FE0917"/>
    <w:rsid w:val="62EC4C13"/>
    <w:rsid w:val="636D1FB3"/>
    <w:rsid w:val="63892462"/>
    <w:rsid w:val="659F54F2"/>
    <w:rsid w:val="65AE261A"/>
    <w:rsid w:val="67DA14DE"/>
    <w:rsid w:val="696D6F25"/>
    <w:rsid w:val="6A2D7FEB"/>
    <w:rsid w:val="6A563358"/>
    <w:rsid w:val="6B7AE6A8"/>
    <w:rsid w:val="6BB169FA"/>
    <w:rsid w:val="6BDF8BAC"/>
    <w:rsid w:val="6BFFED44"/>
    <w:rsid w:val="6FB72C0B"/>
    <w:rsid w:val="70240DFE"/>
    <w:rsid w:val="715A162B"/>
    <w:rsid w:val="73BFF61A"/>
    <w:rsid w:val="76BF7E98"/>
    <w:rsid w:val="77521091"/>
    <w:rsid w:val="778B07E5"/>
    <w:rsid w:val="77FA7033"/>
    <w:rsid w:val="791F52E2"/>
    <w:rsid w:val="7A454EDD"/>
    <w:rsid w:val="7A9C36FC"/>
    <w:rsid w:val="7B0E1773"/>
    <w:rsid w:val="7B85769A"/>
    <w:rsid w:val="7BF9EF89"/>
    <w:rsid w:val="7DAE6271"/>
    <w:rsid w:val="7E7F5B3F"/>
    <w:rsid w:val="7EFBB092"/>
    <w:rsid w:val="7F562E78"/>
    <w:rsid w:val="7FEFEEA2"/>
    <w:rsid w:val="9873EAC0"/>
    <w:rsid w:val="9D763AC8"/>
    <w:rsid w:val="9DDFC172"/>
    <w:rsid w:val="A12FB79B"/>
    <w:rsid w:val="AADA5E83"/>
    <w:rsid w:val="B277764A"/>
    <w:rsid w:val="B4DF95AF"/>
    <w:rsid w:val="BF14687E"/>
    <w:rsid w:val="BF6F2D3E"/>
    <w:rsid w:val="D3EFD582"/>
    <w:rsid w:val="D77F0B27"/>
    <w:rsid w:val="DB7B04FB"/>
    <w:rsid w:val="DD6FA332"/>
    <w:rsid w:val="DE6EBD82"/>
    <w:rsid w:val="DEBF0DF5"/>
    <w:rsid w:val="DEFD7354"/>
    <w:rsid w:val="DFFA1669"/>
    <w:rsid w:val="E1771DA0"/>
    <w:rsid w:val="E3FE38D2"/>
    <w:rsid w:val="EBFF3864"/>
    <w:rsid w:val="EDBD3B43"/>
    <w:rsid w:val="EFF67BA6"/>
    <w:rsid w:val="F5BF5188"/>
    <w:rsid w:val="F7DADD85"/>
    <w:rsid w:val="FDF98C95"/>
    <w:rsid w:val="FFD5F9D2"/>
    <w:rsid w:val="FFFA0A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widowControl/>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qFormat/>
    <w:uiPriority w:val="0"/>
    <w:pPr>
      <w:widowControl/>
      <w:spacing w:beforeAutospacing="1" w:afterAutospacing="1"/>
      <w:jc w:val="left"/>
      <w:outlineLvl w:val="1"/>
    </w:pPr>
    <w:rPr>
      <w:rFonts w:hint="eastAsia" w:ascii="宋体" w:hAnsi="宋体" w:eastAsia="宋体"/>
      <w:b/>
      <w:bCs/>
      <w:kern w:val="0"/>
      <w:sz w:val="36"/>
      <w:szCs w:val="36"/>
    </w:rPr>
  </w:style>
  <w:style w:type="paragraph" w:styleId="4">
    <w:name w:val="heading 3"/>
    <w:basedOn w:val="1"/>
    <w:next w:val="1"/>
    <w:qFormat/>
    <w:uiPriority w:val="0"/>
    <w:pPr>
      <w:widowControl/>
      <w:spacing w:beforeAutospacing="1" w:afterAutospacing="1"/>
      <w:jc w:val="left"/>
      <w:outlineLvl w:val="2"/>
    </w:pPr>
    <w:rPr>
      <w:rFonts w:hint="eastAsia" w:ascii="宋体" w:hAnsi="宋体" w:eastAsia="宋体"/>
      <w:b/>
      <w:bCs/>
      <w:kern w:val="0"/>
      <w:sz w:val="27"/>
      <w:szCs w:val="27"/>
    </w:rPr>
  </w:style>
  <w:style w:type="paragraph" w:styleId="5">
    <w:name w:val="heading 4"/>
    <w:basedOn w:val="1"/>
    <w:next w:val="1"/>
    <w:qFormat/>
    <w:uiPriority w:val="0"/>
    <w:pPr>
      <w:widowControl/>
      <w:spacing w:beforeAutospacing="1" w:afterAutospacing="1"/>
      <w:jc w:val="left"/>
      <w:outlineLvl w:val="3"/>
    </w:pPr>
    <w:rPr>
      <w:rFonts w:hint="eastAsia" w:ascii="宋体" w:hAnsi="宋体" w:eastAsia="宋体"/>
      <w:b/>
      <w:bCs/>
      <w:kern w:val="0"/>
      <w:sz w:val="24"/>
      <w:szCs w:val="24"/>
    </w:rPr>
  </w:style>
  <w:style w:type="paragraph" w:styleId="6">
    <w:name w:val="heading 5"/>
    <w:basedOn w:val="1"/>
    <w:next w:val="1"/>
    <w:qFormat/>
    <w:uiPriority w:val="0"/>
    <w:pPr>
      <w:widowControl/>
      <w:spacing w:beforeAutospacing="1" w:afterAutospacing="1"/>
      <w:jc w:val="left"/>
      <w:outlineLvl w:val="4"/>
    </w:pPr>
    <w:rPr>
      <w:rFonts w:hint="eastAsia" w:ascii="宋体" w:hAnsi="宋体" w:eastAsia="宋体"/>
      <w:b/>
      <w:bCs/>
      <w:kern w:val="0"/>
      <w:sz w:val="20"/>
      <w:szCs w:val="20"/>
    </w:rPr>
  </w:style>
  <w:style w:type="paragraph" w:styleId="7">
    <w:name w:val="heading 6"/>
    <w:basedOn w:val="1"/>
    <w:next w:val="1"/>
    <w:qFormat/>
    <w:uiPriority w:val="0"/>
    <w:pPr>
      <w:widowControl/>
      <w:spacing w:beforeAutospacing="1" w:afterAutospacing="1"/>
      <w:jc w:val="left"/>
      <w:outlineLvl w:val="5"/>
    </w:pPr>
    <w:rPr>
      <w:rFonts w:hint="eastAsia" w:ascii="宋体" w:hAnsi="宋体" w:eastAsia="宋体"/>
      <w:b/>
      <w:bCs/>
      <w:kern w:val="0"/>
      <w:sz w:val="15"/>
      <w:szCs w:val="15"/>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Indent"/>
    <w:basedOn w:val="1"/>
    <w:qFormat/>
    <w:uiPriority w:val="0"/>
    <w:pPr>
      <w:spacing w:after="120" w:line="273" w:lineRule="auto"/>
      <w:ind w:left="420" w:leftChars="200"/>
    </w:pPr>
    <w:rPr>
      <w:rFonts w:eastAsia="宋体"/>
    </w:rPr>
  </w:style>
  <w:style w:type="paragraph" w:styleId="10">
    <w:name w:val="footer"/>
    <w:basedOn w:val="1"/>
    <w:qFormat/>
    <w:uiPriority w:val="99"/>
    <w:pPr>
      <w:snapToGrid w:val="0"/>
      <w:jc w:val="left"/>
    </w:pPr>
    <w:rPr>
      <w:sz w:val="18"/>
      <w:szCs w:val="18"/>
    </w:rPr>
  </w:style>
  <w:style w:type="paragraph" w:styleId="11">
    <w:name w:val="header"/>
    <w:basedOn w:val="1"/>
    <w:qFormat/>
    <w:uiPriority w:val="99"/>
    <w:pPr>
      <w:pBdr>
        <w:bottom w:val="single" w:color="auto" w:sz="6" w:space="1"/>
      </w:pBdr>
      <w:snapToGrid w:val="0"/>
      <w:jc w:val="center"/>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3">
    <w:name w:val="Normal (Web)"/>
    <w:basedOn w:val="1"/>
    <w:qFormat/>
    <w:uiPriority w:val="0"/>
    <w:pPr>
      <w:widowControl/>
      <w:spacing w:beforeAutospacing="1" w:afterAutospacing="1"/>
      <w:jc w:val="left"/>
    </w:pPr>
    <w:rPr>
      <w:rFonts w:hint="eastAsia" w:ascii="宋体" w:hAnsi="宋体" w:eastAsia="宋体"/>
      <w:kern w:val="0"/>
      <w:sz w:val="24"/>
      <w:szCs w:val="24"/>
    </w:rPr>
  </w:style>
  <w:style w:type="paragraph" w:styleId="14">
    <w:name w:val="Body Text First Indent 2"/>
    <w:basedOn w:val="9"/>
    <w:qFormat/>
    <w:uiPriority w:val="99"/>
    <w:pPr>
      <w:ind w:firstLine="420" w:firstLineChars="200"/>
    </w:pPr>
  </w:style>
  <w:style w:type="table" w:styleId="16">
    <w:name w:val="Table Grid"/>
    <w:basedOn w:val="15"/>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8">
    <w:name w:val="21"/>
    <w:basedOn w:val="17"/>
    <w:qFormat/>
    <w:uiPriority w:val="0"/>
    <w:rPr>
      <w:rFonts w:hint="default" w:ascii="Calibri" w:hAnsi="Calibri" w:cs="Calibri"/>
    </w:rPr>
  </w:style>
  <w:style w:type="paragraph" w:customStyle="1" w:styleId="19">
    <w:name w:val="p Char"/>
    <w:basedOn w:val="1"/>
    <w:qFormat/>
    <w:uiPriority w:val="0"/>
    <w:pPr>
      <w:widowControl/>
      <w:spacing w:beforeAutospacing="1" w:afterAutospacing="1"/>
      <w:jc w:val="left"/>
    </w:pPr>
    <w:rPr>
      <w:rFonts w:hint="eastAsia" w:ascii="宋体" w:hAnsi="宋体" w:eastAsia="宋体"/>
      <w:kern w:val="0"/>
      <w:sz w:val="24"/>
      <w:szCs w:val="24"/>
    </w:rPr>
  </w:style>
  <w:style w:type="paragraph" w:customStyle="1" w:styleId="20">
    <w:name w:val="HTML 预设格式 Char"/>
    <w:basedOn w:val="1"/>
    <w:qFormat/>
    <w:uiPriority w:val="0"/>
    <w:pPr>
      <w:widowControl/>
      <w:jc w:val="left"/>
    </w:pPr>
    <w:rPr>
      <w:rFonts w:hint="eastAsia" w:ascii="宋体" w:hAnsi="宋体" w:eastAsia="宋体"/>
      <w:kern w:val="0"/>
      <w:sz w:val="24"/>
      <w:szCs w:val="24"/>
    </w:rPr>
  </w:style>
  <w:style w:type="character" w:customStyle="1" w:styleId="21">
    <w:name w:val="10"/>
    <w:basedOn w:val="17"/>
    <w:qFormat/>
    <w:uiPriority w:val="0"/>
    <w:rPr>
      <w:rFonts w:hint="default" w:ascii="Times New Roman" w:hAnsi="Times New Roman" w:cs="Times New Roman"/>
    </w:rPr>
  </w:style>
  <w:style w:type="character" w:customStyle="1" w:styleId="22">
    <w:name w:val="19"/>
    <w:basedOn w:val="17"/>
    <w:qFormat/>
    <w:uiPriority w:val="0"/>
    <w:rPr>
      <w:rFonts w:hint="default" w:ascii="Calibri" w:hAnsi="Calibri" w:cs="Calibri"/>
      <w:color w:val="800080"/>
      <w:u w:val="single"/>
    </w:rPr>
  </w:style>
  <w:style w:type="character" w:customStyle="1" w:styleId="23">
    <w:name w:val="15"/>
    <w:basedOn w:val="17"/>
    <w:qFormat/>
    <w:uiPriority w:val="0"/>
    <w:rPr>
      <w:rFonts w:hint="default" w:ascii="Times New Roman" w:hAnsi="Times New Roman" w:cs="Times New Roman"/>
    </w:rPr>
  </w:style>
  <w:style w:type="paragraph" w:customStyle="1" w:styleId="24">
    <w:name w:val="msolistparagraph"/>
    <w:basedOn w:val="1"/>
    <w:qFormat/>
    <w:uiPriority w:val="0"/>
    <w:pPr>
      <w:ind w:firstLine="420" w:firstLineChars="200"/>
    </w:pPr>
  </w:style>
  <w:style w:type="character" w:customStyle="1" w:styleId="25">
    <w:name w:val="16"/>
    <w:basedOn w:val="17"/>
    <w:qFormat/>
    <w:uiPriority w:val="0"/>
    <w:rPr>
      <w:rFonts w:hint="default" w:ascii="Times New Roman" w:hAnsi="Times New Roman" w:cs="Times New Roman"/>
    </w:rPr>
  </w:style>
  <w:style w:type="character" w:customStyle="1" w:styleId="26">
    <w:name w:val="17"/>
    <w:basedOn w:val="17"/>
    <w:qFormat/>
    <w:uiPriority w:val="0"/>
    <w:rPr>
      <w:rFonts w:hint="default" w:ascii="Times New Roman" w:hAnsi="Times New Roman" w:cs="Times New Roman"/>
      <w:color w:val="000000"/>
      <w:sz w:val="24"/>
      <w:szCs w:val="24"/>
    </w:rPr>
  </w:style>
  <w:style w:type="character" w:customStyle="1" w:styleId="27">
    <w:name w:val="18"/>
    <w:basedOn w:val="17"/>
    <w:qFormat/>
    <w:uiPriority w:val="0"/>
    <w:rPr>
      <w:rFonts w:hint="default" w:ascii="仿宋_GB2312" w:eastAsia="仿宋_GB2312" w:cs="仿宋_GB2312"/>
      <w:kern w:val="2"/>
      <w:sz w:val="18"/>
      <w:szCs w:val="18"/>
    </w:rPr>
  </w:style>
  <w:style w:type="character" w:customStyle="1" w:styleId="28">
    <w:name w:val="20"/>
    <w:basedOn w:val="17"/>
    <w:qFormat/>
    <w:uiPriority w:val="0"/>
    <w:rPr>
      <w:rFonts w:hint="default" w:ascii="Calibri" w:hAnsi="Calibri" w:cs="Calibri"/>
    </w:rPr>
  </w:style>
  <w:style w:type="character" w:customStyle="1" w:styleId="29">
    <w:name w:val="22"/>
    <w:basedOn w:val="17"/>
    <w:qFormat/>
    <w:uiPriority w:val="0"/>
    <w:rPr>
      <w:rFonts w:hint="default" w:ascii="仿宋_GB2312" w:eastAsia="仿宋_GB2312" w:cs="仿宋_GB2312"/>
      <w:kern w:val="2"/>
      <w:sz w:val="18"/>
      <w:szCs w:val="18"/>
    </w:rPr>
  </w:style>
  <w:style w:type="paragraph" w:customStyle="1" w:styleId="30">
    <w:name w:val="HTML 预设格式 Char Char"/>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character" w:customStyle="1" w:styleId="31">
    <w:name w:val="23"/>
    <w:basedOn w:val="17"/>
    <w:qFormat/>
    <w:uiPriority w:val="0"/>
    <w:rPr>
      <w:rFonts w:hint="default" w:ascii="Calibri" w:hAnsi="Calibri" w:cs="Calibri"/>
      <w:color w:val="0000FF"/>
      <w:u w:val="single"/>
    </w:rPr>
  </w:style>
  <w:style w:type="paragraph" w:customStyle="1" w:styleId="32">
    <w:name w:val="普通(网站) Char Char"/>
    <w:basedOn w:val="1"/>
    <w:qFormat/>
    <w:uiPriority w:val="0"/>
    <w:pPr>
      <w:widowControl/>
      <w:spacing w:beforeAutospacing="1" w:afterAutospacing="1"/>
      <w:jc w:val="left"/>
    </w:pPr>
    <w:rPr>
      <w:rFonts w:hint="eastAsia" w:ascii="宋体" w:hAnsi="宋体" w:eastAsia="宋体"/>
      <w:kern w:val="0"/>
      <w:sz w:val="24"/>
      <w:szCs w:val="24"/>
    </w:rPr>
  </w:style>
  <w:style w:type="paragraph" w:customStyle="1" w:styleId="33">
    <w:name w:val="普通(网站) Char"/>
    <w:basedOn w:val="1"/>
    <w:qFormat/>
    <w:uiPriority w:val="0"/>
    <w:pPr>
      <w:widowControl/>
      <w:spacing w:beforeAutospacing="1" w:afterAutospacing="1"/>
      <w:jc w:val="left"/>
    </w:pPr>
    <w:rPr>
      <w:rFonts w:hint="eastAsia" w:ascii="宋体" w:hAnsi="宋体" w:eastAsia="宋体"/>
      <w:kern w:val="0"/>
      <w:sz w:val="24"/>
      <w:szCs w:val="24"/>
    </w:rPr>
  </w:style>
  <w:style w:type="paragraph" w:customStyle="1" w:styleId="34">
    <w:name w:val="首行缩进"/>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6872</Words>
  <Characters>7219</Characters>
  <Lines>1</Lines>
  <Paragraphs>1</Paragraphs>
  <TotalTime>8</TotalTime>
  <ScaleCrop>false</ScaleCrop>
  <LinksUpToDate>false</LinksUpToDate>
  <CharactersWithSpaces>7393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2024-12-06T00:22:00Z</dcterms:created>
  <dc:creator>karina</dc:creator>
  <cp:lastModifiedBy>karina</cp:lastModifiedBy>
  <dcterms:modified xsi:type="dcterms:W3CDTF">2024-12-18T01:29:47Z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692CDBAFE21E48B9A97DB8C9D344AF70_13</vt:lpwstr>
  </property>
</Properties>
</file>